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BodyText"/>
        <w:keepNext w:val="0"/>
        <w:spacing w:after="200"/>
      </w:pPr>
      <w:r/>
      <w:r>
        <w:drawing>
          <wp:inline>
            <wp:extent cx="1554480" cy="1557067"/>
            <wp:docPr id="1" name="Picture 1"/>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554480" cy="1557067"/>
                    </a:xfrm>
                    <a:prstGeom prst="rect"/>
                  </pic:spPr>
                </pic:pic>
              </a:graphicData>
            </a:graphic>
          </wp:inline>
        </w:drawing>
      </w:r>
    </w:p>
    <w:p>
      <w:pPr>
        <w:pStyle w:val="BodyText"/>
        <w:keepNext/>
        <w:spacing w:after="100"/>
      </w:pPr>
      <w:r>
        <w:rPr>
          <w:b/>
          <w:sz w:val="20"/>
        </w:rPr>
        <w:t>BOONDOCKS SPACE</w:t>
      </w:r>
    </w:p>
    <w:p>
      <w:pPr>
        <w:pStyle w:val="Title"/>
      </w:pPr>
      <w:r>
        <w:t>Boondocks NFT Collection</w:t>
      </w:r>
    </w:p>
    <w:p>
      <w:pPr>
        <w:pStyle w:val="BodyText"/>
        <w:keepNext/>
        <w:spacing w:after="240"/>
      </w:pPr>
      <w:r>
        <w:rPr>
          <w:sz w:val="24"/>
        </w:rPr>
        <w:t>A digital collectible connected to a wider sense of place</w:t>
      </w:r>
    </w:p>
    <w:p>
      <w:pPr>
        <w:pStyle w:val="BodyText"/>
        <w:keepNext w:val="0"/>
        <w:spacing w:after="300"/>
      </w:pPr>
      <w:r>
        <w:rPr>
          <w:b/>
          <w:color w:val="D6512B"/>
          <w:sz w:val="20"/>
        </w:rPr>
        <w:t>BACK WHERE I BELONG</w:t>
      </w:r>
    </w:p>
    <w:p>
      <w:pPr>
        <w:pStyle w:val="BodyText"/>
        <w:keepNext w:val="0"/>
        <w:spacing w:after="280"/>
      </w:pPr>
      <w:r>
        <w:rPr>
          <w:sz w:val="22"/>
        </w:rPr>
        <w:t>Boondocks connects art, landscape and architecture with the identity of a community. The NFT collection is its first planned public product: a visual world to collect and a project to follow as it develops.</w:t>
      </w:r>
    </w:p>
    <w:p>
      <w:pPr>
        <w:pStyle w:val="BodyText"/>
        <w:keepNext w:val="0"/>
        <w:spacing w:after="140"/>
      </w:pPr>
      <w:r/>
      <w:r>
        <w:rPr>
          <w:b/>
        </w:rPr>
        <w:t xml:space="preserve">Product  </w:t>
      </w:r>
      <w:r>
        <w:t>Digital collectibles with a personal, non-commercial artwork licence</w:t>
      </w:r>
    </w:p>
    <w:p>
      <w:pPr>
        <w:pStyle w:val="BodyText"/>
        <w:keepNext w:val="0"/>
        <w:spacing w:after="140"/>
      </w:pPr>
      <w:r/>
      <w:r>
        <w:rPr>
          <w:b/>
        </w:rPr>
        <w:t xml:space="preserve">Network  </w:t>
      </w:r>
      <w:r>
        <w:t>Robinhood Chain</w:t>
      </w:r>
    </w:p>
    <w:p>
      <w:pPr>
        <w:pStyle w:val="BodyText"/>
        <w:keepNext w:val="0"/>
        <w:spacing w:after="140"/>
      </w:pPr>
      <w:r/>
      <w:r>
        <w:rPr>
          <w:b/>
        </w:rPr>
        <w:t xml:space="preserve">Platform  </w:t>
      </w:r>
      <w:r>
        <w:t>Availability through OpenSea planned</w:t>
      </w:r>
    </w:p>
    <w:p>
      <w:pPr>
        <w:pStyle w:val="BodyText"/>
        <w:keepNext w:val="0"/>
        <w:spacing w:after="140"/>
      </w:pPr>
      <w:r/>
      <w:r>
        <w:rPr>
          <w:b/>
        </w:rPr>
        <w:t xml:space="preserve">Launch window  </w:t>
      </w:r>
      <w:r>
        <w:t>October 2026, subject to readiness</w:t>
      </w:r>
    </w:p>
    <w:p>
      <w:pPr>
        <w:pStyle w:val="BodyText"/>
        <w:keepNext w:val="0"/>
        <w:spacing w:after="240"/>
      </w:pPr>
      <w:r>
        <w:rPr>
          <w:sz w:val="21"/>
        </w:rPr>
        <w:t>The collection and its launch terms are still being finalised. App features and physical experiences are future plans, with no current entitlement attached to the NFT.</w:t>
      </w:r>
    </w:p>
    <w:p>
      <w:pPr>
        <w:pStyle w:val="BodyText"/>
        <w:keepNext w:val="0"/>
        <w:spacing w:after="100"/>
      </w:pPr>
      <w:r>
        <w:rPr>
          <w:b/>
          <w:sz w:val="19"/>
        </w:rPr>
        <w:t>Public Paper V1.0 | Revised 2 October 2026</w:t>
      </w:r>
    </w:p>
    <w:p>
      <w:pPr>
        <w:pStyle w:val="BodyText"/>
        <w:keepNext w:val="0"/>
        <w:spacing w:after="240"/>
      </w:pPr>
      <w:r>
        <w:rPr>
          <w:sz w:val="19"/>
        </w:rPr>
        <w:t>A pre-launch product overview. Final prices, configuration and transaction documents will be published through official channels before purchase.</w:t>
      </w:r>
    </w:p>
    <w:p>
      <w:pPr>
        <w:pStyle w:val="BodyText"/>
        <w:keepNext w:val="0"/>
        <w:spacing w:after="60"/>
      </w:pPr>
      <w:r>
        <w:rPr>
          <w:b/>
        </w:rPr>
        <w:t>Boondocks Space S.R.L.</w:t>
      </w:r>
    </w:p>
    <w:p>
      <w:pPr>
        <w:pStyle w:val="BodyText"/>
        <w:keepNext w:val="0"/>
        <w:spacing w:after="60"/>
      </w:pPr>
      <w:r>
        <w:rPr>
          <w:sz w:val="19"/>
        </w:rPr>
        <w:t>CUI 52418244 | Trade Register J2025065663009</w:t>
      </w:r>
    </w:p>
    <w:p>
      <w:pPr>
        <w:pStyle w:val="BodyText"/>
        <w:keepNext w:val="0"/>
        <w:spacing w:after="60"/>
      </w:pPr>
      <w:r>
        <w:rPr>
          <w:sz w:val="19"/>
        </w:rPr>
        <w:t>Registered office: Str. Victoriei nr. 45, etaj 2, ap. 9, Cugir, Alba County, Romania</w:t>
      </w:r>
    </w:p>
    <w:p>
      <w:pPr>
        <w:pStyle w:val="BodyText"/>
        <w:keepNext w:val="0"/>
        <w:spacing w:after="60"/>
      </w:pPr>
      <w:r>
        <w:rPr>
          <w:sz w:val="19"/>
        </w:rPr>
        <w:t>Administrator and legal representative: Cotoară Emanuel-Andrei</w:t>
      </w:r>
    </w:p>
    <w:p>
      <w:pPr>
        <w:pStyle w:val="BodyText"/>
        <w:keepNext w:val="0"/>
        <w:spacing w:after="100"/>
      </w:pPr>
      <w:r>
        <w:rPr>
          <w:sz w:val="19"/>
        </w:rPr>
        <w:t>www.boondocks.space | contact@boondocks.space</w:t>
      </w:r>
    </w:p>
    <w:p>
      <w:pPr>
        <w:pStyle w:val="BodyText"/>
        <w:keepNext/>
        <w:pageBreakBefore/>
        <w:spacing w:after="80"/>
      </w:pPr>
      <w:r>
        <w:rPr>
          <w:b/>
          <w:color w:val="D6512B"/>
          <w:sz w:val="20"/>
        </w:rPr>
        <w:t>01</w:t>
      </w:r>
    </w:p>
    <w:p>
      <w:pPr>
        <w:pStyle w:val="Heading1"/>
      </w:pPr>
      <w:r>
        <w:t>What you are collecting</w:t>
      </w:r>
    </w:p>
    <w:p>
      <w:pPr>
        <w:pStyle w:val="BodyText"/>
        <w:keepNext/>
        <w:spacing w:after="240"/>
      </w:pPr>
      <w:r>
        <w:rPr>
          <w:color w:val="555D63"/>
          <w:sz w:val="21"/>
        </w:rPr>
        <w:t>The artwork is the starting point of ownership</w:t>
      </w:r>
    </w:p>
    <w:p>
      <w:pPr>
        <w:pStyle w:val="BodyText"/>
        <w:keepNext w:val="0"/>
      </w:pPr>
      <w:r>
        <w:t>A Boondocks NFT associates a blockchain token with a specific digital composition and its collection record. Its meaning comes from the artwork, its place in the Boondocks world and the history attached to the token. The purchase should make sense to you as a collectible even if a resale market never develops.</w:t>
      </w:r>
    </w:p>
    <w:p>
      <w:pPr>
        <w:pStyle w:val="Heading2"/>
      </w:pPr>
      <w:r>
        <w:t>A world with a recognisable identity</w:t>
      </w:r>
    </w:p>
    <w:p>
      <w:pPr>
        <w:pStyle w:val="BodyText"/>
        <w:keepNext w:val="0"/>
      </w:pPr>
      <w:r>
        <w:t>The visual direction draws on mountain landscapes, shelters, wildlife, local culture and traces of everyday life. Seven narrative scene families and eight colour identities are planned. The final artwork, trait system and representative previews will be published with the collection information before purchase.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718"/>
      </w:tblGrid>
      <w:tr>
        <w:trPr>
          <w:cantSplit/>
          <w:tblHeader/>
        </w:trPr>
        <w:tc>
          <w:tcPr>
            <w:tcW w:type="dxa" w:w="244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At purchase</w:t>
            </w:r>
          </w:p>
        </w:tc>
        <w:tc>
          <w:tcPr>
            <w:tcW w:type="dxa" w:w="771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What this means</w:t>
            </w:r>
          </w:p>
        </w:tc>
      </w:tr>
      <w:tr>
        <w:trPr>
          <w:cantSplit/>
        </w:trPr>
        <w:tc>
          <w:tcPr>
            <w:tcW w:type="dxa" w:w="24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The specific NFT</w:t>
            </w:r>
          </w:p>
        </w:tc>
        <w:tc>
          <w:tcPr>
            <w:tcW w:type="dxa" w:w="77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Control of the token delivered to your compatible wallet after a completed transaction.</w:t>
            </w:r>
          </w:p>
        </w:tc>
      </w:tr>
      <w:tr>
        <w:trPr>
          <w:cantSplit/>
        </w:trPr>
        <w:tc>
          <w:tcPr>
            <w:tcW w:type="dxa" w:w="244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Its artwork licence</w:t>
            </w:r>
          </w:p>
        </w:tc>
        <w:tc>
          <w:tcPr>
            <w:tcW w:type="dxa" w:w="771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The personal, non-commercial rights stated in the licence available before purchase. Copyright and the Boondocks brand remain separate.</w:t>
            </w:r>
          </w:p>
        </w:tc>
      </w:tr>
      <w:tr>
        <w:trPr>
          <w:cantSplit/>
        </w:trPr>
        <w:tc>
          <w:tcPr>
            <w:tcW w:type="dxa" w:w="244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Its collection identity</w:t>
            </w:r>
          </w:p>
        </w:tc>
        <w:tc>
          <w:tcPr>
            <w:tcW w:type="dxa" w:w="771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 recorded category, composition, metadata and ownership history, subject to the disclosed storage and contract settings.</w:t>
            </w:r>
          </w:p>
        </w:tc>
      </w:tr>
    </w:tbl>
    <w:p>
      <w:pPr>
        <w:pStyle w:val="BodyText"/>
        <w:keepNext w:val="0"/>
        <w:spacing w:after="40" w:line="40" w:lineRule="exact"/>
      </w:pPr>
      <w:r/>
    </w:p>
    <w:p>
      <w:pPr>
        <w:pStyle w:val="Heading2"/>
      </w:pPr>
      <w:r>
        <w:t>What remains outside the purchase</w:t>
      </w:r>
    </w:p>
    <w:p>
      <w:pPr>
        <w:pStyle w:val="BodyText"/>
        <w:keepNext w:val="0"/>
      </w:pPr>
      <w:r>
        <w:t>The NFT gives no company shares, property ownership, rights to project revenue or guaranteed financial return. It does not include BNDKS, an accommodation booking or automatic access to future App features or events. Other people may view or copy the associated image; NFT ownership does not make the media exclusive.</w:t>
      </w:r>
    </w:p>
    <w:p>
      <w:pPr>
        <w:pStyle w:val="Heading2"/>
      </w:pPr>
      <w:r>
        <w:t>The collector decision</w:t>
      </w:r>
    </w:p>
    <w:p>
      <w:pPr>
        <w:pStyle w:val="BodyText"/>
        <w:keepNext w:val="0"/>
      </w:pPr>
      <w:r>
        <w:t>Review the final artwork and its licence, then compare the price with the value the collectible has for you today. The wider project provides context, while future services remain separately defined. Purchasers may lose the full amount spent.</w:t>
      </w:r>
    </w:p>
    <w:p>
      <w:pPr>
        <w:pStyle w:val="BodyText"/>
        <w:keepNext/>
        <w:pageBreakBefore/>
        <w:spacing w:after="80"/>
      </w:pPr>
      <w:r>
        <w:rPr>
          <w:b/>
          <w:color w:val="D6512B"/>
          <w:sz w:val="20"/>
        </w:rPr>
        <w:t>02</w:t>
      </w:r>
    </w:p>
    <w:p>
      <w:pPr>
        <w:pStyle w:val="Heading1"/>
      </w:pPr>
      <w:r>
        <w:t>The five Boondocks worlds</w:t>
      </w:r>
    </w:p>
    <w:p>
      <w:pPr>
        <w:pStyle w:val="BodyText"/>
        <w:keepNext/>
        <w:spacing w:after="240"/>
      </w:pPr>
      <w:r>
        <w:rPr>
          <w:color w:val="555D63"/>
          <w:sz w:val="21"/>
        </w:rPr>
        <w:t>A shared narrative for the collection and the wider project</w:t>
      </w:r>
    </w:p>
    <w:p>
      <w:pPr>
        <w:pStyle w:val="BodyText"/>
        <w:keepNext w:val="0"/>
      </w:pPr>
      <w:r>
        <w:t>The collection moves through five worlds, from familiar inhabited landscapes towards more remote settings. Each world gives the artwork a context and can guide future stories, collaborations and experiences. The worlds are artistic territories; they do not identify completed resorts or grant rights to a location.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7574"/>
      </w:tblGrid>
      <w:tr>
        <w:trPr>
          <w:cantSplit/>
          <w:tblHeader/>
        </w:trPr>
        <w:tc>
          <w:tcPr>
            <w:tcW w:type="dxa" w:w="2592"/>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World</w:t>
            </w:r>
          </w:p>
        </w:tc>
        <w:tc>
          <w:tcPr>
            <w:tcW w:type="dxa" w:w="7574"/>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The character of the place</w:t>
            </w:r>
          </w:p>
        </w:tc>
      </w:tr>
      <w:tr>
        <w:trPr>
          <w:cantSplit/>
        </w:trPr>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01  Foothills</w:t>
            </w:r>
          </w:p>
        </w:tc>
        <w:tc>
          <w:tcPr>
            <w:tcW w:type="dxa" w:w="757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Villages, gardens, orchards, inherited objects and the everyday heritage found where mountains begin.</w:t>
            </w:r>
          </w:p>
        </w:tc>
      </w:tr>
      <w:tr>
        <w:trPr>
          <w:cantSplit/>
        </w:trPr>
        <w:tc>
          <w:tcPr>
            <w:tcW w:type="dxa" w:w="259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02  Village and farm</w:t>
            </w:r>
          </w:p>
        </w:tc>
        <w:tc>
          <w:tcPr>
            <w:tcW w:type="dxa" w:w="757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Small settlements, local food, craft and a slower relationship with land and community.</w:t>
            </w:r>
          </w:p>
        </w:tc>
      </w:tr>
      <w:tr>
        <w:trPr>
          <w:cantSplit/>
        </w:trPr>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03  Alpine life</w:t>
            </w:r>
          </w:p>
        </w:tc>
        <w:tc>
          <w:tcPr>
            <w:tcW w:type="dxa" w:w="757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Pastures, shepherds, seasonal shelters, animals and life shaped by exposed weather.</w:t>
            </w:r>
          </w:p>
        </w:tc>
      </w:tr>
      <w:tr>
        <w:trPr>
          <w:cantSplit/>
        </w:trPr>
        <w:tc>
          <w:tcPr>
            <w:tcW w:type="dxa" w:w="259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04  Mountain refuge</w:t>
            </w:r>
          </w:p>
        </w:tc>
        <w:tc>
          <w:tcPr>
            <w:tcW w:type="dxa" w:w="757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Remote landscapes, solitude and architecture reduced to the essentials of shelter.</w:t>
            </w:r>
          </w:p>
        </w:tc>
      </w:tr>
      <w:tr>
        <w:trPr>
          <w:cantSplit/>
        </w:trPr>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05  Beyond Earth</w:t>
            </w:r>
          </w:p>
        </w:tc>
        <w:tc>
          <w:tcPr>
            <w:tcW w:type="dxa" w:w="757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The Moon as a symbolic frontier of imagination and experimentation, rather than a promised physical development.</w:t>
            </w:r>
          </w:p>
        </w:tc>
      </w:tr>
    </w:tbl>
    <w:p>
      <w:pPr>
        <w:pStyle w:val="BodyText"/>
        <w:keepNext w:val="0"/>
        <w:spacing w:after="40" w:line="40" w:lineRule="exact"/>
      </w:pPr>
      <w:r/>
    </w:p>
    <w:p>
      <w:pPr>
        <w:pStyle w:val="Heading2"/>
      </w:pPr>
      <w:r>
        <w:t>Who may recognise themselves here</w:t>
      </w:r>
    </w:p>
    <w:p>
      <w:pPr>
        <w:pStyle w:val="BodyText"/>
        <w:keepNext w:val="0"/>
      </w:pPr>
      <w:r>
        <w:t>Collectors can approach Boondocks through its art. Travellers and remote workers may connect with its idea of place. Architects, artists and makers may follow its design process and cultural direction. Following the project, contributing ideas or joining its wider community does not require an NFT purchase.</w:t>
      </w:r>
    </w:p>
    <w:p>
      <w:pPr>
        <w:pStyle w:val="Heading2"/>
      </w:pPr>
      <w:r>
        <w:t>The relationship with real places</w:t>
      </w:r>
    </w:p>
    <w:p>
      <w:pPr>
        <w:pStyle w:val="BodyText"/>
        <w:keepNext w:val="0"/>
      </w:pPr>
      <w:r>
        <w:t>The architectural direction begins with landscape, access, climate and local culture. Cabins and habitats are intended to develop through design, prototypes and feasible projects. A future stay or activity will require its own availability, provider and booking terms.</w:t>
      </w:r>
    </w:p>
    <w:p>
      <w:pPr>
        <w:pStyle w:val="BodyText"/>
        <w:keepNext/>
        <w:pageBreakBefore/>
        <w:spacing w:after="80"/>
      </w:pPr>
      <w:r>
        <w:rPr>
          <w:b/>
          <w:color w:val="D6512B"/>
          <w:sz w:val="20"/>
        </w:rPr>
        <w:t>03</w:t>
      </w:r>
    </w:p>
    <w:p>
      <w:pPr>
        <w:pStyle w:val="Heading1"/>
      </w:pPr>
      <w:r>
        <w:t>How the collection is structured</w:t>
      </w:r>
    </w:p>
    <w:p>
      <w:pPr>
        <w:pStyle w:val="BodyText"/>
        <w:keepNext/>
        <w:spacing w:after="240"/>
      </w:pPr>
      <w:r>
        <w:rPr>
          <w:color w:val="555D63"/>
          <w:sz w:val="21"/>
        </w:rPr>
        <w:t>A maximum of 11,111 NFTs across clearly identified categories</w:t>
      </w:r>
    </w:p>
    <w:p>
      <w:pPr>
        <w:pStyle w:val="BodyText"/>
        <w:keepNext w:val="0"/>
        <w:spacing w:after="160"/>
      </w:pPr>
      <w:r/>
      <w:r>
        <w:drawing>
          <wp:inline>
            <wp:extent cx="6455664" cy="1236191"/>
            <wp:docPr id="2" name="Picture 2"/>
            <wp:cNvGraphicFramePr>
              <a:graphicFrameLocks noChangeAspect="1"/>
            </wp:cNvGraphicFramePr>
            <a:graphic>
              <a:graphicData uri="http://schemas.openxmlformats.org/drawingml/2006/picture">
                <pic:pic>
                  <pic:nvPicPr>
                    <pic:cNvPr id="0" name="collection_allocation.png"/>
                    <pic:cNvPicPr/>
                  </pic:nvPicPr>
                  <pic:blipFill>
                    <a:blip r:embed="rId11"/>
                    <a:stretch>
                      <a:fillRect/>
                    </a:stretch>
                  </pic:blipFill>
                  <pic:spPr>
                    <a:xfrm>
                      <a:off x="0" y="0"/>
                      <a:ext cx="6455664" cy="1236191"/>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528"/>
        <w:gridCol w:w="1037"/>
        <w:gridCol w:w="5602"/>
      </w:tblGrid>
      <w:tr>
        <w:trPr>
          <w:cantSplit/>
          <w:tblHeader/>
        </w:trPr>
        <w:tc>
          <w:tcPr>
            <w:tcW w:type="dxa" w:w="352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Category</w:t>
            </w:r>
          </w:p>
        </w:tc>
        <w:tc>
          <w:tcPr>
            <w:tcW w:type="dxa" w:w="1037"/>
            <w:vAlign w:val="center"/>
            <w:shd w:fill="171B1E"/>
            <w:tcMar>
              <w:top w:w="95" w:type="dxa"/>
              <w:bottom w:w="95" w:type="dxa"/>
              <w:left w:w="110" w:type="dxa"/>
              <w:right w:w="110" w:type="dxa"/>
            </w:tcMar>
          </w:tcPr>
          <w:p>
            <w:pPr>
              <w:pStyle w:val="Compact"/>
              <w:keepNext w:val="0"/>
              <w:spacing w:before="0" w:after="0" w:line="257" w:lineRule="auto"/>
              <w:jc w:val="center"/>
            </w:pPr>
            <w:r>
              <w:rPr>
                <w:rFonts w:ascii="Arial" w:hAnsi="Arial"/>
                <w:b/>
                <w:color w:val="FFFFFF"/>
                <w:sz w:val="19"/>
              </w:rPr>
              <w:t>Quantity</w:t>
            </w:r>
          </w:p>
        </w:tc>
        <w:tc>
          <w:tcPr>
            <w:tcW w:type="dxa" w:w="5602"/>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Intended allocation</w:t>
            </w:r>
          </w:p>
        </w:tc>
      </w:tr>
      <w:tr>
        <w:trPr>
          <w:cantSplit/>
        </w:trPr>
        <w:tc>
          <w:tcPr>
            <w:tcW w:type="dxa" w:w="352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Main Collection public mint</w:t>
            </w:r>
          </w:p>
        </w:tc>
        <w:tc>
          <w:tcPr>
            <w:tcW w:type="dxa" w:w="1037"/>
            <w:vAlign w:val="center"/>
            <w:shd w:fill="FFFFFF"/>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10,000</w:t>
            </w:r>
          </w:p>
        </w:tc>
        <w:tc>
          <w:tcPr>
            <w:tcW w:type="dxa" w:w="560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The principal public collection.</w:t>
            </w:r>
          </w:p>
        </w:tc>
      </w:tr>
      <w:tr>
        <w:trPr>
          <w:cantSplit/>
        </w:trPr>
        <w:tc>
          <w:tcPr>
            <w:tcW w:type="dxa" w:w="352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Main Collection cultural distributions</w:t>
            </w:r>
          </w:p>
        </w:tc>
        <w:tc>
          <w:tcPr>
            <w:tcW w:type="dxa" w:w="1037"/>
            <w:vAlign w:val="center"/>
            <w:shd w:fill="F4F5F5"/>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1,000</w:t>
            </w:r>
          </w:p>
        </w:tc>
        <w:tc>
          <w:tcPr>
            <w:tcW w:type="dxa" w:w="560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Campaigns, exhibitions, education and cultural programmes.</w:t>
            </w:r>
          </w:p>
        </w:tc>
      </w:tr>
      <w:tr>
        <w:trPr>
          <w:cantSplit/>
        </w:trPr>
        <w:tc>
          <w:tcPr>
            <w:tcW w:type="dxa" w:w="352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Distinct Series</w:t>
            </w:r>
          </w:p>
        </w:tc>
        <w:tc>
          <w:tcPr>
            <w:tcW w:type="dxa" w:w="1037"/>
            <w:vAlign w:val="center"/>
            <w:shd w:fill="FFFFFF"/>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106</w:t>
            </w:r>
          </w:p>
        </w:tc>
        <w:tc>
          <w:tcPr>
            <w:tcW w:type="dxa" w:w="560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Individually designed works for disclosed contributor, partner and project roles.</w:t>
            </w:r>
          </w:p>
        </w:tc>
      </w:tr>
      <w:tr>
        <w:trPr>
          <w:cantSplit/>
        </w:trPr>
        <w:tc>
          <w:tcPr>
            <w:tcW w:type="dxa" w:w="352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Company Special NFTs</w:t>
            </w:r>
          </w:p>
        </w:tc>
        <w:tc>
          <w:tcPr>
            <w:tcW w:type="dxa" w:w="1037"/>
            <w:vAlign w:val="center"/>
            <w:shd w:fill="F4F5F5"/>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4</w:t>
            </w:r>
          </w:p>
        </w:tc>
        <w:tc>
          <w:tcPr>
            <w:tcW w:type="dxa" w:w="560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Bespoke artistic, archival and narrative company pieces.</w:t>
            </w:r>
          </w:p>
        </w:tc>
      </w:tr>
      <w:tr>
        <w:trPr>
          <w:cantSplit/>
        </w:trPr>
        <w:tc>
          <w:tcPr>
            <w:tcW w:type="dxa" w:w="352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Unique Company NFT</w:t>
            </w:r>
          </w:p>
        </w:tc>
        <w:tc>
          <w:tcPr>
            <w:tcW w:type="dxa" w:w="1037"/>
            <w:vAlign w:val="center"/>
            <w:shd w:fill="FFFFFF"/>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1</w:t>
            </w:r>
          </w:p>
        </w:tc>
        <w:tc>
          <w:tcPr>
            <w:tcW w:type="dxa" w:w="560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 one-of-one expression initially retained by the company.</w:t>
            </w:r>
          </w:p>
        </w:tc>
      </w:tr>
      <w:tr>
        <w:trPr>
          <w:cantSplit/>
        </w:trPr>
        <w:tc>
          <w:tcPr>
            <w:tcW w:type="dxa" w:w="352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Maximum supply</w:t>
            </w:r>
          </w:p>
        </w:tc>
        <w:tc>
          <w:tcPr>
            <w:tcW w:type="dxa" w:w="1037"/>
            <w:vAlign w:val="center"/>
            <w:shd w:fill="F4F5F5"/>
            <w:tcMar>
              <w:top w:w="95" w:type="dxa"/>
              <w:bottom w:w="95" w:type="dxa"/>
              <w:left w:w="110" w:type="dxa"/>
              <w:right w:w="110" w:type="dxa"/>
            </w:tcMar>
          </w:tcPr>
          <w:p>
            <w:pPr>
              <w:pStyle w:val="Compact"/>
              <w:keepNext w:val="0"/>
              <w:spacing w:before="0" w:after="0" w:line="257" w:lineRule="auto"/>
              <w:jc w:val="center"/>
            </w:pPr>
            <w:r>
              <w:rPr>
                <w:rFonts w:ascii="Arial" w:hAnsi="Arial"/>
                <w:b w:val="0"/>
                <w:color w:val="171B1E"/>
                <w:sz w:val="19"/>
              </w:rPr>
              <w:t>11,111</w:t>
            </w:r>
          </w:p>
        </w:tc>
        <w:tc>
          <w:tcPr>
            <w:tcW w:type="dxa" w:w="560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The combined maximum across all categories.</w:t>
            </w:r>
          </w:p>
        </w:tc>
      </w:tr>
    </w:tbl>
    <w:p>
      <w:pPr>
        <w:pStyle w:val="BodyText"/>
        <w:keepNext w:val="0"/>
        <w:spacing w:after="40" w:line="40" w:lineRule="exact"/>
      </w:pPr>
      <w:r/>
    </w:p>
    <w:p>
      <w:pPr>
        <w:pStyle w:val="BodyText"/>
        <w:keepNext w:val="0"/>
      </w:pPr>
      <w:r>
        <w:t>The 10,000 public-mint allocation is part of the maximum supply. The remaining categories are not an additional supply beyond 11,111. Allocation describes intended use, rather than a promise that every item will be sold or distributed at launch.</w:t>
      </w:r>
    </w:p>
    <w:p>
      <w:pPr>
        <w:pStyle w:val="Heading2"/>
      </w:pPr>
      <w:r>
        <w:t>Individuality and provenance</w:t>
      </w:r>
    </w:p>
    <w:p>
      <w:pPr>
        <w:pStyle w:val="BodyText"/>
        <w:keepNext w:val="0"/>
      </w:pPr>
      <w:r>
        <w:t>Main Collection compositions are intended to have non-repeated complete trait combinations. Distinct, Special and Unique works will have separately documented characteristics. Before mint, the collection manifest, category allocation, rarity method and duplicate or similarity review will establish the final record.</w:t>
      </w:r>
    </w:p>
    <w:p>
      <w:pPr>
        <w:pStyle w:val="BodyText"/>
        <w:keepNext w:val="0"/>
      </w:pPr>
      <w:r>
        <w:t>The planned token standard is ERC-721. Final contracts must disclose how the maximum supply is enforced, which permissions remain, whether metadata can change and where media is stored. A unique token ID or rare trait does not by itself prove legal non-fungibility or market value.</w:t>
      </w:r>
    </w:p>
    <w:p>
      <w:pPr>
        <w:pStyle w:val="BodyText"/>
        <w:keepNext/>
        <w:pageBreakBefore/>
        <w:spacing w:after="80"/>
      </w:pPr>
      <w:r>
        <w:rPr>
          <w:b/>
          <w:color w:val="D6512B"/>
          <w:sz w:val="20"/>
        </w:rPr>
        <w:t>04</w:t>
      </w:r>
    </w:p>
    <w:p>
      <w:pPr>
        <w:pStyle w:val="Heading1"/>
      </w:pPr>
      <w:r>
        <w:t>Participation as the project develops</w:t>
      </w:r>
    </w:p>
    <w:p>
      <w:pPr>
        <w:pStyle w:val="BodyText"/>
        <w:keepNext/>
        <w:spacing w:after="240"/>
      </w:pPr>
      <w:r>
        <w:rPr>
          <w:color w:val="555D63"/>
          <w:sz w:val="21"/>
        </w:rPr>
        <w:t>The App is planned and holder features are not available today</w:t>
      </w:r>
    </w:p>
    <w:p>
      <w:pPr>
        <w:pStyle w:val="BodyText"/>
        <w:keepNext w:val="0"/>
      </w:pPr>
      <w:r>
        <w:t>Our development plan includes integrating the collection into the future Boondocks App. An NFT could provide a digital identity linked to its traits and support selected holder features when those features are released under published terms.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5198"/>
        <w:gridCol w:w="2592"/>
      </w:tblGrid>
      <w:tr>
        <w:trPr>
          <w:cantSplit/>
          <w:tblHeader/>
        </w:trPr>
        <w:tc>
          <w:tcPr>
            <w:tcW w:type="dxa" w:w="2376"/>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Development direction</w:t>
            </w:r>
          </w:p>
        </w:tc>
        <w:tc>
          <w:tcPr>
            <w:tcW w:type="dxa" w:w="5198"/>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Potential role</w:t>
            </w:r>
          </w:p>
        </w:tc>
        <w:tc>
          <w:tcPr>
            <w:tcW w:type="dxa" w:w="2592"/>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Current status</w:t>
            </w:r>
          </w:p>
        </w:tc>
      </w:tr>
      <w:tr>
        <w:trPr>
          <w:cantSplit/>
        </w:trPr>
        <w:tc>
          <w:tcPr>
            <w:tcW w:type="dxa" w:w="2376"/>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Digital identity</w:t>
            </w:r>
          </w:p>
        </w:tc>
        <w:tc>
          <w:tcPr>
            <w:tcW w:type="dxa" w:w="519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An optional profile connected to verified ownership and collection traits.</w:t>
            </w:r>
          </w:p>
        </w:tc>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Planned</w:t>
            </w:r>
          </w:p>
        </w:tc>
      </w:tr>
      <w:tr>
        <w:trPr>
          <w:cantSplit/>
        </w:trPr>
        <w:tc>
          <w:tcPr>
            <w:tcW w:type="dxa" w:w="2376"/>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Community and content</w:t>
            </w:r>
          </w:p>
        </w:tc>
        <w:tc>
          <w:tcPr>
            <w:tcW w:type="dxa" w:w="519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Project stories, cultural discussions and selected community spaces.</w:t>
            </w:r>
          </w:p>
        </w:tc>
        <w:tc>
          <w:tcPr>
            <w:tcW w:type="dxa" w:w="259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Planned for the App</w:t>
            </w:r>
          </w:p>
        </w:tc>
      </w:tr>
      <w:tr>
        <w:trPr>
          <w:cantSplit/>
        </w:trPr>
        <w:tc>
          <w:tcPr>
            <w:tcW w:type="dxa" w:w="2376"/>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Creative participation</w:t>
            </w:r>
          </w:p>
        </w:tc>
        <w:tc>
          <w:tcPr>
            <w:tcW w:type="dxa" w:w="5198"/>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Programme-specific calls, workshops or collaborations.</w:t>
            </w:r>
          </w:p>
        </w:tc>
        <w:tc>
          <w:tcPr>
            <w:tcW w:type="dxa" w:w="259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Conditional</w:t>
            </w:r>
          </w:p>
        </w:tc>
      </w:tr>
      <w:tr>
        <w:trPr>
          <w:cantSplit/>
        </w:trPr>
        <w:tc>
          <w:tcPr>
            <w:tcW w:type="dxa" w:w="2376"/>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Places and experiences</w:t>
            </w:r>
          </w:p>
        </w:tc>
        <w:tc>
          <w:tcPr>
            <w:tcW w:type="dxa" w:w="5198"/>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Discovery of future stays, local activities or cultural programmes.</w:t>
            </w:r>
          </w:p>
        </w:tc>
        <w:tc>
          <w:tcPr>
            <w:tcW w:type="dxa" w:w="259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Conditional; no current access right</w:t>
            </w:r>
          </w:p>
        </w:tc>
      </w:tr>
    </w:tbl>
    <w:p>
      <w:pPr>
        <w:pStyle w:val="BodyText"/>
        <w:keepNext w:val="0"/>
        <w:spacing w:after="40" w:line="40" w:lineRule="exact"/>
      </w:pPr>
      <w:r/>
    </w:p>
    <w:p>
      <w:pPr>
        <w:pStyle w:val="Heading2"/>
      </w:pPr>
      <w:r>
        <w:t>How an activated feature will be described</w:t>
      </w:r>
    </w:p>
    <w:p>
      <w:pPr>
        <w:pStyle w:val="BodyText"/>
        <w:keepNext w:val="0"/>
      </w:pPr>
      <w:r>
        <w:t>A programme page will say what is available, who can use it, any capacity limit, dates, charges and privacy implications. Only a feature expressly marked Available is currently offered, subject to its terms. Planned and In Development describe future work; Conditional identifies dependencies. Paused or Discontinued status will be explained and dated.</w:t>
      </w:r>
    </w:p>
    <w:p>
      <w:pPr>
        <w:pStyle w:val="Heading2"/>
      </w:pPr>
      <w:r>
        <w:t>A wider community</w:t>
      </w:r>
    </w:p>
    <w:p>
      <w:pPr>
        <w:pStyle w:val="BodyText"/>
        <w:keepNext w:val="0"/>
      </w:pPr>
      <w:r>
        <w:t>Holder status is one way of connecting with Boondocks. The App is not intended to make collecting the sole route into the community or the exclusive payment method for commercial services.</w:t>
      </w:r>
    </w:p>
    <w:p>
      <w:pPr>
        <w:pStyle w:val="BodyText"/>
        <w:keepNext w:val="0"/>
      </w:pPr>
      <w:r>
        <w:t>Planned benefits may be delayed, changed or cancelled. They do not guarantee accommodation, events or other future services. Later changes do not erase mandatory rights or valid commitments already made under an activated programme.</w:t>
      </w:r>
    </w:p>
    <w:p>
      <w:pPr>
        <w:pStyle w:val="BodyText"/>
        <w:keepNext/>
        <w:pageBreakBefore/>
        <w:spacing w:after="80"/>
      </w:pPr>
      <w:r>
        <w:rPr>
          <w:b/>
          <w:color w:val="D6512B"/>
          <w:sz w:val="20"/>
        </w:rPr>
        <w:t>05</w:t>
      </w:r>
    </w:p>
    <w:p>
      <w:pPr>
        <w:pStyle w:val="Heading1"/>
      </w:pPr>
      <w:r>
        <w:t>The business behind the collection</w:t>
      </w:r>
    </w:p>
    <w:p>
      <w:pPr>
        <w:pStyle w:val="BodyText"/>
        <w:keepNext/>
        <w:spacing w:after="240"/>
      </w:pPr>
      <w:r>
        <w:rPr>
          <w:color w:val="555D63"/>
          <w:sz w:val="21"/>
        </w:rPr>
        <w:t>How the company can develop without giving holders financial rights</w:t>
      </w:r>
    </w:p>
    <w:p>
      <w:pPr>
        <w:pStyle w:val="BodyText"/>
        <w:keepNext w:val="0"/>
      </w:pPr>
      <w:r>
        <w:t>The planned primary mint is an initial product sale within a wider cultural and architectural business. Possible later activities include creative products, licensing, digital services, design collaborations and place-based experiences. Each activity needs its own commercial model and resources.</w:t>
      </w:r>
    </w:p>
    <w:p>
      <w:pPr>
        <w:pStyle w:val="Heading2"/>
      </w:pPr>
      <w:r>
        <w:t>How the mint economics work</w:t>
      </w:r>
    </w:p>
    <w:p>
      <w:pPr>
        <w:pStyle w:val="BodyText"/>
        <w:keepNext w:val="0"/>
      </w:pPr>
      <w:r>
        <w:t>Gross primary-mint receipts depend on the number of paid mints and the confirmed mint price. Net funds depend on platform and network costs borne by the company, production costs, taxes, refunds and other applicable obligations. A maximum collection size is not a sales forecast.</w:t>
      </w:r>
    </w:p>
    <w:p>
      <w:pPr>
        <w:pStyle w:val="BodyText"/>
        <w:keepNext w:val="0"/>
      </w:pPr>
      <w:r>
        <w:t>The mint price and initial budget are not yet confirmed. No sales target, break-even forecast or fully funded development claim is made here. Secondary-sale royalties, where configured, depend on marketplace enforcement and actual resale activity; they are not assured funding.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6782"/>
      </w:tblGrid>
      <w:tr>
        <w:trPr>
          <w:cantSplit/>
          <w:tblHeader/>
        </w:trPr>
        <w:tc>
          <w:tcPr>
            <w:tcW w:type="dxa" w:w="3384"/>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Priority for company resources</w:t>
            </w:r>
          </w:p>
        </w:tc>
        <w:tc>
          <w:tcPr>
            <w:tcW w:type="dxa" w:w="6782"/>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Purpose</w:t>
            </w:r>
          </w:p>
        </w:tc>
      </w:tr>
      <w:tr>
        <w:trPr>
          <w:cantSplit/>
        </w:trPr>
        <w:tc>
          <w:tcPr>
            <w:tcW w:type="dxa" w:w="338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The collectible and purchase process</w:t>
            </w:r>
          </w:p>
        </w:tc>
        <w:tc>
          <w:tcPr>
            <w:tcW w:type="dxa" w:w="678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Finish the artwork, metadata, contracts, storage, transaction documents and support.</w:t>
            </w:r>
          </w:p>
        </w:tc>
      </w:tr>
      <w:tr>
        <w:trPr>
          <w:cantSplit/>
        </w:trPr>
        <w:tc>
          <w:tcPr>
            <w:tcW w:type="dxa" w:w="338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Digital participation</w:t>
            </w:r>
          </w:p>
        </w:tc>
        <w:tc>
          <w:tcPr>
            <w:tcW w:type="dxa" w:w="678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Develop and test useful App functions, then release them with clear terms.</w:t>
            </w:r>
          </w:p>
        </w:tc>
      </w:tr>
      <w:tr>
        <w:trPr>
          <w:cantSplit/>
        </w:trPr>
        <w:tc>
          <w:tcPr>
            <w:tcW w:type="dxa" w:w="338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Architecture and partnerships</w:t>
            </w:r>
          </w:p>
        </w:tc>
        <w:tc>
          <w:tcPr>
            <w:tcW w:type="dxa" w:w="678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Advance research, design and prototypes only as resources, sites and permissions allow.</w:t>
            </w:r>
          </w:p>
        </w:tc>
      </w:tr>
    </w:tbl>
    <w:p>
      <w:pPr>
        <w:pStyle w:val="BodyText"/>
        <w:keepNext w:val="0"/>
        <w:spacing w:after="40" w:line="40" w:lineRule="exact"/>
      </w:pPr>
      <w:r/>
    </w:p>
    <w:p>
      <w:pPr>
        <w:pStyle w:val="Heading2"/>
      </w:pPr>
      <w:r>
        <w:t>What a company investor would need</w:t>
      </w:r>
    </w:p>
    <w:p>
      <w:pPr>
        <w:pStyle w:val="BodyText"/>
        <w:keepNext w:val="0"/>
      </w:pPr>
      <w:r>
        <w:t>An equity or project-finance proposal requires separate budgets, ownership information, funding needs, demand evidence and financial scenarios. This collection paper supplies product context, rather than an investment offer. NFT holders have no right to the company receipts or to direct their use.</w:t>
      </w:r>
    </w:p>
    <w:p>
      <w:pPr>
        <w:pStyle w:val="BodyText"/>
        <w:keepNext w:val="0"/>
      </w:pPr>
      <w:r>
        <w:t>Company, founder, contributor and related-party allocations or payments must be disclosed where relevant. Property or other assets held by the founder or another entity are separate from company assets; no asset backing is created by the wider Boondocks vision.</w:t>
      </w:r>
    </w:p>
    <w:p>
      <w:pPr>
        <w:pStyle w:val="BodyText"/>
        <w:keepNext/>
        <w:pageBreakBefore/>
        <w:spacing w:after="80"/>
      </w:pPr>
      <w:r>
        <w:rPr>
          <w:b/>
          <w:color w:val="D6512B"/>
          <w:sz w:val="20"/>
        </w:rPr>
        <w:t>06</w:t>
      </w:r>
    </w:p>
    <w:p>
      <w:pPr>
        <w:pStyle w:val="Heading1"/>
      </w:pPr>
      <w:r>
        <w:t>A roadmap with visible progress</w:t>
      </w:r>
    </w:p>
    <w:p>
      <w:pPr>
        <w:pStyle w:val="BodyText"/>
        <w:keepNext/>
        <w:spacing w:after="240"/>
      </w:pPr>
      <w:r>
        <w:rPr>
          <w:color w:val="555D63"/>
          <w:sz w:val="21"/>
        </w:rPr>
        <w:t>Dates remain targets and delivery depends on evidence</w:t>
      </w:r>
    </w:p>
    <w:p>
      <w:pPr>
        <w:pStyle w:val="BodyText"/>
        <w:keepNext w:val="0"/>
      </w:pPr>
      <w:r>
        <w:t>The immediate priority is a clear, complete collectible launch. Longer-term physical development follows site availability, financing, permissions and operational feasibility. Progress will be reported through dated evidence rather than inferred from token prices or trading activity.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3744"/>
        <w:gridCol w:w="4910"/>
      </w:tblGrid>
      <w:tr>
        <w:trPr>
          <w:cantSplit/>
          <w:tblHeader/>
        </w:trPr>
        <w:tc>
          <w:tcPr>
            <w:tcW w:type="dxa" w:w="1512"/>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Target period</w:t>
            </w:r>
          </w:p>
        </w:tc>
        <w:tc>
          <w:tcPr>
            <w:tcW w:type="dxa" w:w="3744"/>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Planned objective</w:t>
            </w:r>
          </w:p>
        </w:tc>
        <w:tc>
          <w:tcPr>
            <w:tcW w:type="dxa" w:w="4910"/>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Evidence and dependencies</w:t>
            </w:r>
          </w:p>
        </w:tc>
      </w:tr>
      <w:tr>
        <w:trPr>
          <w:cantSplit/>
        </w:trPr>
        <w:tc>
          <w:tcPr>
            <w:tcW w:type="dxa" w:w="151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October 2026</w:t>
            </w:r>
          </w:p>
        </w:tc>
        <w:tc>
          <w:tcPr>
            <w:tcW w:type="dxa" w:w="374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Collection launch on Robinhood Chain with availability through OpenSea.</w:t>
            </w:r>
          </w:p>
        </w:tc>
        <w:tc>
          <w:tcPr>
            <w:tcW w:type="dxa" w:w="491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Final artwork, launch terms, technical verification and applicable legal steps.</w:t>
            </w:r>
          </w:p>
        </w:tc>
      </w:tr>
      <w:tr>
        <w:trPr>
          <w:cantSplit/>
        </w:trPr>
        <w:tc>
          <w:tcPr>
            <w:tcW w:type="dxa" w:w="151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End of 2026</w:t>
            </w:r>
          </w:p>
        </w:tc>
        <w:tc>
          <w:tcPr>
            <w:tcW w:type="dxa" w:w="374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First cabin or habitat prototype.</w:t>
            </w:r>
          </w:p>
        </w:tc>
        <w:tc>
          <w:tcPr>
            <w:tcW w:type="dxa" w:w="491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Documented design and prototype status; resources and a feasible delivery route.</w:t>
            </w:r>
          </w:p>
        </w:tc>
      </w:tr>
      <w:tr>
        <w:trPr>
          <w:cantSplit/>
        </w:trPr>
        <w:tc>
          <w:tcPr>
            <w:tcW w:type="dxa" w:w="151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First half of 2027</w:t>
            </w:r>
          </w:p>
        </w:tc>
        <w:tc>
          <w:tcPr>
            <w:tcW w:type="dxa" w:w="374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First three-unit complex.</w:t>
            </w:r>
          </w:p>
        </w:tc>
        <w:tc>
          <w:tcPr>
            <w:tcW w:type="dxa" w:w="491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Site or partner status, budget, financing and permissions.</w:t>
            </w:r>
          </w:p>
        </w:tc>
      </w:tr>
      <w:tr>
        <w:trPr>
          <w:cantSplit/>
        </w:trPr>
        <w:tc>
          <w:tcPr>
            <w:tcW w:type="dxa" w:w="1512"/>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End of 2027</w:t>
            </w:r>
          </w:p>
        </w:tc>
        <w:tc>
          <w:tcPr>
            <w:tcW w:type="dxa" w:w="3744"/>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Five additional developments or location partnerships.</w:t>
            </w:r>
          </w:p>
        </w:tc>
        <w:tc>
          <w:tcPr>
            <w:tcW w:type="dxa" w:w="491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Named projects, agreements, resources and verified delivery status.</w:t>
            </w:r>
          </w:p>
        </w:tc>
      </w:tr>
      <w:tr>
        <w:trPr>
          <w:cantSplit/>
        </w:trPr>
        <w:tc>
          <w:tcPr>
            <w:tcW w:type="dxa" w:w="1512"/>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2028</w:t>
            </w:r>
          </w:p>
        </w:tc>
        <w:tc>
          <w:tcPr>
            <w:tcW w:type="dxa" w:w="3744"/>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 network of approximately fifteen locations or resorts.</w:t>
            </w:r>
          </w:p>
        </w:tc>
        <w:tc>
          <w:tcPr>
            <w:tcW w:type="dxa" w:w="491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Operating or contracted locations, project feasibility and sustainable operations.</w:t>
            </w:r>
          </w:p>
        </w:tc>
      </w:tr>
    </w:tbl>
    <w:p>
      <w:pPr>
        <w:pStyle w:val="BodyText"/>
        <w:keepNext w:val="0"/>
        <w:spacing w:after="40" w:line="40" w:lineRule="exact"/>
      </w:pPr>
      <w:r/>
    </w:p>
    <w:p>
      <w:pPr>
        <w:pStyle w:val="BodyText"/>
        <w:keepNext w:val="0"/>
      </w:pPr>
      <w:r>
        <w:t>These targets are not funded commitments or purchaser entitlements. No confirmed budget, contracted site or completed physical milestone is established by this paper. Delays, cancellations or material revisions will be dated and explained.</w:t>
      </w:r>
    </w:p>
    <w:p>
      <w:pPr>
        <w:pStyle w:val="Heading2"/>
      </w:pPr>
      <w:r>
        <w:t>Company responsibility</w:t>
      </w:r>
    </w:p>
    <w:p>
      <w:pPr>
        <w:pStyle w:val="BodyText"/>
        <w:keepNext w:val="0"/>
      </w:pPr>
      <w:r>
        <w:t>Boondocks Space S.R.L. remains responsible for the collection and its official communication. Cotoară Emanuel-Andrei is its administrator and legal representative. Community feedback can inform development without creating company voting or management rights.</w:t>
      </w:r>
    </w:p>
    <w:p>
      <w:pPr>
        <w:pStyle w:val="Heading2"/>
      </w:pPr>
      <w:r>
        <w:t>What makes progress credible</w:t>
      </w:r>
    </w:p>
    <w:p>
      <w:pPr>
        <w:pStyle w:val="BodyText"/>
        <w:keepNext w:val="0"/>
      </w:pPr>
      <w:r>
        <w:t>The useful evidence is a released product, a tested feature, a completed design stage or a confirmed agreement. Partners and contributors will be described according to their actual role and status. Discussions and third-party logos will not be presented as completed partnerships.</w:t>
      </w:r>
    </w:p>
    <w:p>
      <w:pPr>
        <w:pStyle w:val="BodyText"/>
        <w:keepNext/>
        <w:pageBreakBefore/>
        <w:spacing w:after="80"/>
      </w:pPr>
      <w:r>
        <w:rPr>
          <w:b/>
          <w:color w:val="D6512B"/>
          <w:sz w:val="20"/>
        </w:rPr>
        <w:t>07</w:t>
      </w:r>
    </w:p>
    <w:p>
      <w:pPr>
        <w:pStyle w:val="Heading1"/>
      </w:pPr>
      <w:r>
        <w:t>Before you purchase</w:t>
      </w:r>
    </w:p>
    <w:p>
      <w:pPr>
        <w:pStyle w:val="BodyText"/>
        <w:keepNext/>
        <w:spacing w:after="240"/>
      </w:pPr>
      <w:r>
        <w:rPr>
          <w:color w:val="555D63"/>
          <w:sz w:val="21"/>
        </w:rPr>
        <w:t>The official launch page must turn the plan into verifiable facts</w:t>
      </w:r>
    </w:p>
    <w:p>
      <w:pPr>
        <w:pStyle w:val="BodyText"/>
        <w:keepNext w:val="0"/>
      </w:pPr>
      <w:r>
        <w:t>The planned route uses Robinhood Chain and OpenSea. OpenSea confirms support for NFTs on this network; the collection page and the specific mint flow still require technical verification. The confirmed launch notice will identify how the primary purchase is completed.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790"/>
      </w:tblGrid>
      <w:tr>
        <w:trPr>
          <w:cantSplit/>
          <w:tblHeader/>
        </w:trPr>
        <w:tc>
          <w:tcPr>
            <w:tcW w:type="dxa" w:w="2376"/>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Check</w:t>
            </w:r>
          </w:p>
        </w:tc>
        <w:tc>
          <w:tcPr>
            <w:tcW w:type="dxa" w:w="7790"/>
            <w:vAlign w:val="center"/>
            <w:shd w:fill="171B1E"/>
            <w:tcMar>
              <w:top w:w="95" w:type="dxa"/>
              <w:bottom w:w="95" w:type="dxa"/>
              <w:left w:w="110" w:type="dxa"/>
              <w:right w:w="110" w:type="dxa"/>
            </w:tcMar>
          </w:tcPr>
          <w:p>
            <w:pPr>
              <w:pStyle w:val="Compact"/>
              <w:keepNext w:val="0"/>
              <w:spacing w:before="0" w:after="0" w:line="257" w:lineRule="auto"/>
            </w:pPr>
            <w:r>
              <w:rPr>
                <w:rFonts w:ascii="Arial" w:hAnsi="Arial"/>
                <w:b/>
                <w:color w:val="FFFFFF"/>
                <w:sz w:val="19"/>
              </w:rPr>
              <w:t>Information you should be able to review</w:t>
            </w:r>
          </w:p>
        </w:tc>
      </w:tr>
      <w:tr>
        <w:trPr>
          <w:cantSplit/>
        </w:trPr>
        <w:tc>
          <w:tcPr>
            <w:tcW w:type="dxa" w:w="2376"/>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Product and price</w:t>
            </w:r>
          </w:p>
        </w:tc>
        <w:tc>
          <w:tcPr>
            <w:tcW w:type="dxa" w:w="779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Representative final artwork, reveal rules, maximum supply, mint price, payment currency and known fees.</w:t>
            </w:r>
          </w:p>
        </w:tc>
      </w:tr>
      <w:tr>
        <w:trPr>
          <w:cantSplit/>
        </w:trPr>
        <w:tc>
          <w:tcPr>
            <w:tcW w:type="dxa" w:w="2376"/>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Authenticity and technology</w:t>
            </w:r>
          </w:p>
        </w:tc>
        <w:tc>
          <w:tcPr>
            <w:tcW w:type="dxa" w:w="779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Official contract addresses, collection link, token standard, supply controls, administrative permissions, storage and testing status.</w:t>
            </w:r>
          </w:p>
        </w:tc>
      </w:tr>
      <w:tr>
        <w:trPr>
          <w:cantSplit/>
        </w:trPr>
        <w:tc>
          <w:tcPr>
            <w:tcW w:type="dxa" w:w="2376"/>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Rights and transaction</w:t>
            </w:r>
          </w:p>
        </w:tc>
        <w:tc>
          <w:tcPr>
            <w:tcW w:type="dxa" w:w="7790"/>
            <w:vAlign w:val="center"/>
            <w:shd w:fill="FFFFFF"/>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The IP Licence, Mint Terms, Consumer Notice, restrictions and required support contacts, including email and telephone where applicable.</w:t>
            </w:r>
          </w:p>
        </w:tc>
      </w:tr>
      <w:tr>
        <w:trPr>
          <w:cantSplit/>
        </w:trPr>
        <w:tc>
          <w:tcPr>
            <w:tcW w:type="dxa" w:w="2376"/>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Privacy and records</w:t>
            </w:r>
          </w:p>
        </w:tc>
        <w:tc>
          <w:tcPr>
            <w:tcW w:type="dxa" w:w="7790"/>
            <w:vAlign w:val="center"/>
            <w:shd w:fill="F4F5F5"/>
            <w:tcMar>
              <w:top w:w="95" w:type="dxa"/>
              <w:bottom w:w="95" w:type="dxa"/>
              <w:left w:w="110" w:type="dxa"/>
              <w:right w:w="110" w:type="dxa"/>
            </w:tcMar>
          </w:tcPr>
          <w:p>
            <w:pPr>
              <w:pStyle w:val="Compact"/>
              <w:keepNext w:val="0"/>
              <w:spacing w:before="0" w:after="0" w:line="257" w:lineRule="auto"/>
            </w:pPr>
            <w:r>
              <w:rPr>
                <w:rFonts w:ascii="Arial" w:hAnsi="Arial"/>
                <w:b w:val="0"/>
                <w:color w:val="171B1E"/>
                <w:sz w:val="19"/>
              </w:rPr>
              <w:t>Privacy information and evidence of the completed purchase, including the transaction hash and token ID.</w:t>
            </w:r>
          </w:p>
        </w:tc>
      </w:tr>
    </w:tbl>
    <w:p>
      <w:pPr>
        <w:pStyle w:val="BodyText"/>
        <w:keepNext w:val="0"/>
        <w:spacing w:after="40" w:line="40" w:lineRule="exact"/>
      </w:pPr>
      <w:r/>
    </w:p>
    <w:p>
      <w:pPr>
        <w:pStyle w:val="Heading2"/>
      </w:pPr>
      <w:r>
        <w:t>Principal risks</w:t>
      </w:r>
    </w:p>
    <w:p>
      <w:pPr>
        <w:pStyle w:val="BodyText"/>
        <w:keepNext w:val="0"/>
      </w:pPr>
      <w:r>
        <w:t>The NFT may fall to zero in resale value or have no usable resale market. Contract bugs, network or marketplace failures, broken media links, phishing and wallet compromise can cause loss or interrupt access. Future functions and physical projects may never be delivered. Purchasers may lose the full amount spent.</w:t>
      </w:r>
    </w:p>
    <w:p>
      <w:pPr>
        <w:pStyle w:val="Heading2"/>
      </w:pPr>
      <w:r>
        <w:t>A practical purchase sequence</w:t>
      </w:r>
    </w:p>
    <w:p>
      <w:pPr>
        <w:pStyle w:val="BodyText"/>
        <w:keepNext w:val="0"/>
      </w:pPr>
      <w:r>
        <w:t>Enter through the official link on boondocks.space, verify the full contract address and network, review the product and terms, then check the wallet transaction before signing. Keep the receipt or invoice, contractual version and transaction identifiers. Never share a private key or seed phrase.</w:t>
      </w:r>
    </w:p>
    <w:p>
      <w:pPr>
        <w:pStyle w:val="BodyText"/>
        <w:keepNext w:val="0"/>
      </w:pPr>
      <w:r>
        <w:t>The primary mint will not open until the required product, technical, transaction and regulatory information is available. Any audit will be named with its completed scope and date; testing or platform support does not guarantee safety.</w:t>
      </w:r>
    </w:p>
    <w:p>
      <w:pPr>
        <w:pStyle w:val="BodyText"/>
        <w:keepNext/>
        <w:pageBreakBefore/>
        <w:spacing w:after="80"/>
      </w:pPr>
      <w:r>
        <w:rPr>
          <w:b/>
          <w:color w:val="D6512B"/>
          <w:sz w:val="20"/>
        </w:rPr>
        <w:t>08</w:t>
      </w:r>
    </w:p>
    <w:p>
      <w:pPr>
        <w:pStyle w:val="Heading1"/>
      </w:pPr>
      <w:r>
        <w:t>Company information and legal context</w:t>
      </w:r>
    </w:p>
    <w:p>
      <w:pPr>
        <w:pStyle w:val="BodyText"/>
        <w:keepNext/>
        <w:spacing w:after="240"/>
      </w:pPr>
      <w:r>
        <w:rPr>
          <w:color w:val="555D63"/>
          <w:sz w:val="21"/>
        </w:rPr>
        <w:t>Public presentation with separately defined purchase terms</w:t>
      </w:r>
    </w:p>
    <w:p>
      <w:pPr>
        <w:pStyle w:val="BodyText"/>
        <w:keepNext w:val="0"/>
      </w:pPr>
      <w:r>
        <w:t>Boondocks Space S.R.L. develops the collection and remains responsible for its own product claims. Use of OpenSea or Robinhood Chain does not imply endorsement, authority approval or a partnership, and does not transfer every company obligation to a platform.</w:t>
      </w:r>
    </w:p>
    <w:p>
      <w:pPr>
        <w:pStyle w:val="Heading2"/>
      </w:pPr>
      <w:r>
        <w:t>Regulatory position</w:t>
      </w:r>
    </w:p>
    <w:p>
      <w:pPr>
        <w:pStyle w:val="BodyText"/>
        <w:keepNext w:val="0"/>
      </w:pPr>
      <w:r>
        <w:t>MiCA applicability depends on the final assets, rights, structure, marketing and use. Article 2(3) concerns genuinely unique and non-fungible crypto-assets; a large series or collection can indicate fungibility. The NFT label, token identifier and rarity system do not settle classification. No binding authority classification or regulatory approval is claimed. [1]</w:t>
      </w:r>
    </w:p>
    <w:p>
      <w:pPr>
        <w:pStyle w:val="BodyText"/>
        <w:keepNext w:val="0"/>
      </w:pPr>
      <w:r>
        <w:t>This public paper is not a MiCA crypto-asset white paper or a substitute for required publications. Any applicable marketing notices and publication requirements must be met before the relevant marketing or launch. The transaction terms and this public presentation must remain materially consistent.</w:t>
      </w:r>
    </w:p>
    <w:p>
      <w:pPr>
        <w:pStyle w:val="Heading2"/>
      </w:pPr>
      <w:r>
        <w:t>Purchaser rights and privacy</w:t>
      </w:r>
    </w:p>
    <w:p>
      <w:pPr>
        <w:pStyle w:val="BodyText"/>
        <w:keepNext w:val="0"/>
      </w:pPr>
      <w:r>
        <w:t>Mandatory law prevails. Transaction documents define the purchase without excluding mandatory rights or accountability for public statements. Immediate blockchain delivery does not alone eliminate withdrawal, complaint or remedy rights. Applicable procedures must be explained for the actual transaction. Personal-data purposes, providers and retention will be described in the relevant privacy information.</w:t>
      </w:r>
    </w:p>
    <w:p>
      <w:pPr>
        <w:pStyle w:val="Heading2"/>
      </w:pPr>
      <w:r>
        <w:t>Official company contact</w:t>
      </w:r>
    </w:p>
    <w:p>
      <w:pPr>
        <w:pStyle w:val="BodyText"/>
        <w:keepNext w:val="0"/>
        <w:spacing w:after="60"/>
      </w:pPr>
      <w:r>
        <w:rPr>
          <w:b/>
        </w:rPr>
        <w:t>Boondocks Space S.R.L.</w:t>
      </w:r>
    </w:p>
    <w:p>
      <w:pPr>
        <w:pStyle w:val="BodyText"/>
        <w:keepNext w:val="0"/>
        <w:spacing w:after="60"/>
      </w:pPr>
      <w:r>
        <w:rPr>
          <w:sz w:val="19"/>
        </w:rPr>
        <w:t>CUI 52418244 | Trade Register J2025065663009</w:t>
      </w:r>
    </w:p>
    <w:p>
      <w:pPr>
        <w:pStyle w:val="BodyText"/>
        <w:keepNext w:val="0"/>
        <w:spacing w:after="60"/>
      </w:pPr>
      <w:r>
        <w:rPr>
          <w:sz w:val="19"/>
        </w:rPr>
        <w:t>Registered office: Str. Victoriei nr. 45, etaj 2, ap. 9, Cugir, Alba County, Romania</w:t>
      </w:r>
    </w:p>
    <w:p>
      <w:pPr>
        <w:pStyle w:val="BodyText"/>
        <w:keepNext w:val="0"/>
        <w:spacing w:after="60"/>
      </w:pPr>
      <w:r>
        <w:rPr>
          <w:sz w:val="19"/>
        </w:rPr>
        <w:t>Administrator and legal representative: Cotoară Emanuel-Andrei</w:t>
      </w:r>
    </w:p>
    <w:p>
      <w:pPr>
        <w:pStyle w:val="BodyText"/>
        <w:keepNext w:val="0"/>
        <w:spacing w:after="100"/>
      </w:pPr>
      <w:r>
        <w:rPr>
          <w:sz w:val="19"/>
        </w:rPr>
        <w:t>www.boondocks.space | contact@boondocks.space</w:t>
      </w:r>
    </w:p>
    <w:p>
      <w:pPr>
        <w:pStyle w:val="Heading2"/>
      </w:pPr>
      <w:r>
        <w:t>Official references</w:t>
      </w:r>
    </w:p>
    <w:p>
      <w:pPr>
        <w:pStyle w:val="BodyText"/>
        <w:spacing w:after="80"/>
      </w:pPr>
      <w:hyperlink r:id="rId12">
        <w:r>
          <w:rPr>
            <w:sz w:val="18"/>
            <w:color w:val="555D63"/>
          </w:rPr>
          <w:t>[1] MiCA scope and NFT exclusion</w:t>
        </w:r>
      </w:hyperlink>
    </w:p>
    <w:p>
      <w:pPr>
        <w:pStyle w:val="BodyText"/>
        <w:spacing w:after="80"/>
      </w:pPr>
      <w:hyperlink r:id="rId13">
        <w:r>
          <w:rPr>
            <w:sz w:val="18"/>
            <w:color w:val="555D63"/>
          </w:rPr>
          <w:t>MiCA marketing requirements</w:t>
        </w:r>
      </w:hyperlink>
    </w:p>
    <w:p>
      <w:pPr>
        <w:pStyle w:val="BodyText"/>
        <w:spacing w:after="80"/>
      </w:pPr>
      <w:hyperlink r:id="rId14">
        <w:r>
          <w:rPr>
            <w:sz w:val="18"/>
            <w:color w:val="555D63"/>
          </w:rPr>
          <w:t>OpenSea support for Robinhood Chain</w:t>
        </w:r>
      </w:hyperlink>
    </w:p>
    <w:p>
      <w:pPr>
        <w:pStyle w:val="BodyText"/>
        <w:keepNext w:val="0"/>
        <w:spacing w:after="60"/>
      </w:pPr>
      <w:r>
        <w:rPr>
          <w:color w:val="555D63"/>
          <w:sz w:val="17"/>
        </w:rPr>
        <w:t>Version 1.0 | Public edition revised 2 October 2026. Platform sources checked on that date; final launch terms and current configuration take priority for release-specific facts. Material changes will be dated and versioned.</w:t>
      </w:r>
    </w:p>
    <w:sectPr w:rsidR="00FC693F" w:rsidRPr="0006063C" w:rsidSect="00034616">
      <w:headerReference r:id="rId9" w:type="default"/>
      <w:footerReference r:id="rId10" w:type="default"/>
      <w:pgSz w:h="15840" w:w="12240"/>
      <w:pgMar w:bottom="922" w:footer="360" w:gutter="0" w:header="360" w:left="1037" w:right="1037" w:top="922"/>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D63"/>
        <w:sz w:val="15"/>
      </w:rPr>
      <w:t xml:space="preserve">Boondocks Space S.R.L.  |  October 2026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000000"/>
        <w:sz w:val="15"/>
      </w:rPr>
      <w:t>BOONDOCKS  |  NFT COLLECTION  |  PUBLIC PAPER V1.0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Next w:val="0"/>
      <w:widowControl/>
      <w:spacing w:after="140" w:line="271" w:lineRule="auto" w:before="0"/>
    </w:pPr>
    <w:rPr>
      <w:rFonts w:ascii="Arial" w:hAnsi="Arial"/>
      <w:b w:val="0"/>
      <w:color w:val="171B1E"/>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40" w:before="0"/>
      <w:outlineLvl w:val="0"/>
    </w:pPr>
    <w:rPr>
      <w:rFonts w:ascii="Arial" w:asciiTheme="majorHAnsi" w:cstheme="majorBidi" w:eastAsiaTheme="majorEastAsia" w:hAnsi="Arial" w:hAnsiTheme="majorHAnsi"/>
      <w:b/>
      <w:bCs/>
      <w:color w:val="000000"/>
      <w:sz w:val="42"/>
      <w:szCs w:val="28"/>
    </w:rPr>
  </w:style>
  <w:style w:styleId="Heading2" w:type="paragraph">
    <w:name w:val="heading 2"/>
    <w:basedOn w:val="Normal"/>
    <w:next w:val="Normal"/>
    <w:link w:val="Heading2Char"/>
    <w:uiPriority w:val="9"/>
    <w:unhideWhenUsed/>
    <w:qFormat/>
    <w:rsid w:val="00FC693F"/>
    <w:pPr>
      <w:keepNext/>
      <w:keepLines/>
      <w:spacing w:after="140" w:before="180"/>
      <w:outlineLvl w:val="1"/>
    </w:pPr>
    <w:rPr>
      <w:rFonts w:ascii="Arial" w:asciiTheme="majorHAnsi" w:cstheme="majorBidi" w:eastAsiaTheme="majorEastAsia" w:hAnsi="Arial" w:hAnsiTheme="majorHAnsi"/>
      <w:b/>
      <w:bCs/>
      <w:color w:val="000000"/>
      <w:sz w:val="24"/>
      <w:szCs w:val="26"/>
    </w:rPr>
  </w:style>
  <w:style w:styleId="Heading3" w:type="paragraph">
    <w:name w:val="heading 3"/>
    <w:basedOn w:val="Normal"/>
    <w:next w:val="Normal"/>
    <w:link w:val="Heading3Char"/>
    <w:uiPriority w:val="9"/>
    <w:unhideWhenUsed/>
    <w:qFormat/>
    <w:rsid w:val="00FC693F"/>
    <w:pPr>
      <w:keepNext/>
      <w:keepLines/>
      <w:spacing w:after="140" w:before="120"/>
      <w:outlineLvl w:val="2"/>
    </w:pPr>
    <w:rPr>
      <w:rFonts w:ascii="Aptos" w:asciiTheme="majorHAnsi" w:cstheme="majorBidi" w:eastAsiaTheme="majorEastAsia" w:hAnsi="Aptos" w:hAnsiTheme="majorHAnsi"/>
      <w:b/>
      <w:bCs/>
      <w:color w:val="111A22"/>
      <w:sz w:val="23"/>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spacing w:after="140" w:before="0" w:line="240" w:lineRule="auto"/>
      <w:contextualSpacing/>
    </w:pPr>
    <w:rPr>
      <w:rFonts w:ascii="Arial" w:asciiTheme="majorHAnsi" w:cstheme="majorBidi" w:eastAsiaTheme="majorEastAsia" w:hAnsi="Arial" w:hAnsiTheme="majorHAnsi"/>
      <w:b/>
      <w:color w:val="000000"/>
      <w:spacing w:val="5"/>
      <w:kern w:val="28"/>
      <w:sz w:val="50"/>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keepNext w:val="0"/>
      <w:widowControl/>
      <w:spacing w:after="140" w:line="271" w:lineRule="auto" w:before="0"/>
    </w:pPr>
    <w:rPr>
      <w:rFonts w:ascii="Arial" w:hAnsi="Arial"/>
      <w:b w:val="0"/>
      <w:color w:val="171B1E"/>
      <w:sz w:val="21"/>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mallNote" w:type="paragraph">
    <w:name w:val="Small Note"/>
    <w:pPr>
      <w:spacing w:after="80" w:line="240" w:lineRule="auto"/>
    </w:pPr>
    <w:rPr>
      <w:rFonts w:ascii="Aptos" w:hAnsi="Aptos"/>
      <w:color w:val="5D6974"/>
      <w:sz w:val="17"/>
    </w:rPr>
  </w:style>
  <w:style w:type="paragraph" w:customStyle="1" w:styleId="Callout">
    <w:name w:val="Callout"/>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Compact">
    <w:name w:val="Compact"/>
    <w:basedOn w:val="Normal"/>
    <w:pPr>
      <w:keepNext w:val="0"/>
      <w:widowControl/>
      <w:spacing w:line="271" w:lineRule="auto" w:before="0" w:after="140"/>
    </w:pPr>
    <w:rPr>
      <w:rFonts w:ascii="Arial" w:hAnsi="Arial"/>
      <w:b w:val="0"/>
      <w:color w:val="171B1E"/>
      <w:sz w:val="21"/>
    </w:rPr>
  </w:style>
  <w:style w:type="paragraph" w:customStyle="1" w:styleId="FirstParagraph">
    <w:name w:val="FirstParagraph"/>
    <w:basedOn w:val="Normal"/>
    <w:pPr>
      <w:keepNext w:val="0"/>
      <w:widowControl/>
      <w:spacing w:line="271" w:lineRule="auto" w:before="0" w:after="140"/>
    </w:pPr>
    <w:rPr>
      <w:rFonts w:ascii="Arial" w:hAnsi="Arial"/>
      <w:b w:val="0"/>
      <w:color w:val="171B1E"/>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20" Type="http://schemas.openxmlformats.org/officeDocument/2006/relationships/image" Target="media/rId20.png"/><Relationship Id="rId30" Type="http://schemas.openxmlformats.org/officeDocument/2006/relationships/image" Target="media/rId30.png"/><Relationship Id="rId35" Type="http://schemas.openxmlformats.org/officeDocument/2006/relationships/image" Target="media/rId35.png"/><Relationship Id="rId11" Type="http://schemas.openxmlformats.org/officeDocument/2006/relationships/image" Target="media/image1.png"/><Relationship Id="rId12" Type="http://schemas.openxmlformats.org/officeDocument/2006/relationships/hyperlink" Target="https://www.esma.europa.eu/publications-and-data/interactive-single-rulebook/mica/article-2-scope" TargetMode="External"/><Relationship Id="rId13" Type="http://schemas.openxmlformats.org/officeDocument/2006/relationships/hyperlink" Target="https://www.esma.europa.eu/publications-and-data/interactive-single-rulebook/mica/article-7-marketing-communications" TargetMode="External"/><Relationship Id="rId14" Type="http://schemas.openxmlformats.org/officeDocument/2006/relationships/hyperlink" Target="https://opensea.io/blog/articles/robinhood-chain-is-live-on-opens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Boondocks NFT Collection Public Paper V1.0</dc:title>
  <dc:creator>Boondocks Space S.R.L.</dc:creator>
  <cp:keywords/>
  <dcterms:created xsi:type="dcterms:W3CDTF">2026-08-05T08:31:48Z</dcterms:created>
  <dcterms:modified xsi:type="dcterms:W3CDTF">2026-10-02T16:30:00Z</dcterms:modified>
  <dc:subject>Robinhood Chain launch planned for October 2026</dc:subject>
  <dc:description/>
  <cp:lastModifiedBy>Boondocks Space S.R.L.</cp:lastModifiedBy>
</cp:coreProperties>
</file>

<file path=docProps/custom.xml><?xml version="1.0" encoding="utf-8"?>
<Properties xmlns="http://schemas.openxmlformats.org/officeDocument/2006/custom-properties" xmlns:vt="http://schemas.openxmlformats.org/officeDocument/2006/docPropsVTypes"/>
</file>