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BodyText"/>
        <w:keepNext w:val="0"/>
        <w:spacing w:after="200"/>
      </w:pPr>
      <w:r/>
      <w:r>
        <w:drawing>
          <wp:inline>
            <wp:extent cx="1554480" cy="1554480"/>
            <wp:docPr id="1" name="Picture 1"/>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1554480" cy="1554480"/>
                    </a:xfrm>
                    <a:prstGeom prst="rect"/>
                  </pic:spPr>
                </pic:pic>
              </a:graphicData>
            </a:graphic>
          </wp:inline>
        </w:drawing>
      </w:r>
    </w:p>
    <w:p>
      <w:pPr>
        <w:pStyle w:val="BodyText"/>
        <w:keepNext/>
        <w:spacing w:after="100"/>
      </w:pPr>
      <w:r>
        <w:rPr>
          <w:b/>
          <w:sz w:val="20"/>
        </w:rPr>
        <w:t>BOONDOCKS SPACE</w:t>
      </w:r>
    </w:p>
    <w:p>
      <w:pPr>
        <w:pStyle w:val="Title"/>
      </w:pPr>
      <w:r>
        <w:t>BNDKS FanCoin</w:t>
      </w:r>
    </w:p>
    <w:p>
      <w:pPr>
        <w:pStyle w:val="BodyText"/>
        <w:keepNext/>
        <w:spacing w:after="240"/>
      </w:pPr>
      <w:r>
        <w:rPr>
          <w:sz w:val="24"/>
        </w:rPr>
        <w:t>A community token within the Boondocks ecosystem</w:t>
      </w:r>
    </w:p>
    <w:p>
      <w:pPr>
        <w:pStyle w:val="BodyText"/>
        <w:keepNext w:val="0"/>
        <w:spacing w:after="300"/>
      </w:pPr>
      <w:r>
        <w:rPr>
          <w:b/>
          <w:color w:val="D6512B"/>
          <w:sz w:val="20"/>
        </w:rPr>
        <w:t>BACK WHERE I BELONG</w:t>
      </w:r>
    </w:p>
    <w:p>
      <w:pPr>
        <w:pStyle w:val="BodyText"/>
        <w:keepNext w:val="0"/>
        <w:spacing w:after="280"/>
      </w:pPr>
      <w:r>
        <w:rPr>
          <w:sz w:val="22"/>
        </w:rPr>
        <w:t>Boondocks brings together people interested in nature, architecture and local culture. BNDKS is being developed as one digital route into future community participation, alongside the art collection and the wider project.</w:t>
      </w:r>
    </w:p>
    <w:p>
      <w:pPr>
        <w:pStyle w:val="BodyText"/>
        <w:keepNext w:val="0"/>
        <w:spacing w:after="140"/>
      </w:pPr>
      <w:r/>
      <w:r>
        <w:rPr>
          <w:b/>
        </w:rPr>
        <w:t xml:space="preserve">Product  </w:t>
      </w:r>
      <w:r>
        <w:t>A fungible community token; no company or property ownership</w:t>
      </w:r>
    </w:p>
    <w:p>
      <w:pPr>
        <w:pStyle w:val="BodyText"/>
        <w:keepNext w:val="0"/>
        <w:spacing w:after="140"/>
      </w:pPr>
      <w:r/>
      <w:r>
        <w:rPr>
          <w:b/>
        </w:rPr>
        <w:t xml:space="preserve">Network  </w:t>
      </w:r>
      <w:r>
        <w:t>Robinhood Chain</w:t>
      </w:r>
    </w:p>
    <w:p>
      <w:pPr>
        <w:pStyle w:val="BodyText"/>
        <w:keepNext w:val="0"/>
        <w:spacing w:after="140"/>
      </w:pPr>
      <w:r/>
      <w:r>
        <w:rPr>
          <w:b/>
        </w:rPr>
        <w:t xml:space="preserve">Platform  </w:t>
      </w:r>
      <w:r>
        <w:t>Launch through Ponsfamily (pons) planned</w:t>
      </w:r>
    </w:p>
    <w:p>
      <w:pPr>
        <w:pStyle w:val="BodyText"/>
        <w:keepNext w:val="0"/>
        <w:spacing w:after="140"/>
      </w:pPr>
      <w:r/>
      <w:r>
        <w:rPr>
          <w:b/>
        </w:rPr>
        <w:t xml:space="preserve">Launch window  </w:t>
      </w:r>
      <w:r>
        <w:t>October 2026, subject to readiness</w:t>
      </w:r>
    </w:p>
    <w:p>
      <w:pPr>
        <w:pStyle w:val="BodyText"/>
        <w:keepNext w:val="0"/>
        <w:spacing w:after="240"/>
      </w:pPr>
      <w:r>
        <w:rPr>
          <w:sz w:val="21"/>
        </w:rPr>
        <w:t>BNDKS-based App functions are not available today. Supply, distribution, fees and the final launch configuration remain to be confirmed. Price and liquidity are not guaranteed; total loss is possible.</w:t>
      </w:r>
    </w:p>
    <w:p>
      <w:pPr>
        <w:pStyle w:val="BodyText"/>
        <w:keepNext w:val="0"/>
        <w:spacing w:after="100"/>
      </w:pPr>
      <w:r>
        <w:rPr>
          <w:b/>
          <w:sz w:val="19"/>
        </w:rPr>
        <w:t>Public Paper V1.0 | Revised 2 October 2026</w:t>
      </w:r>
    </w:p>
    <w:p>
      <w:pPr>
        <w:pStyle w:val="BodyText"/>
        <w:keepNext w:val="0"/>
        <w:spacing w:after="240"/>
      </w:pPr>
      <w:r>
        <w:rPr>
          <w:sz w:val="19"/>
        </w:rPr>
        <w:t>A pre-launch product overview. Final prices, configuration and transaction documents will be published through official channels before purchase.</w:t>
      </w:r>
    </w:p>
    <w:p>
      <w:pPr>
        <w:pStyle w:val="BodyText"/>
        <w:keepNext w:val="0"/>
        <w:spacing w:after="60"/>
      </w:pPr>
      <w:r>
        <w:rPr>
          <w:b/>
        </w:rPr>
        <w:t>Boondocks Space S.R.L.</w:t>
      </w:r>
    </w:p>
    <w:p>
      <w:pPr>
        <w:pStyle w:val="BodyText"/>
        <w:keepNext w:val="0"/>
        <w:spacing w:after="60"/>
      </w:pPr>
      <w:r>
        <w:rPr>
          <w:sz w:val="19"/>
        </w:rPr>
        <w:t>CUI 52418244 | Trade Register J2025065663009</w:t>
      </w:r>
    </w:p>
    <w:p>
      <w:pPr>
        <w:pStyle w:val="BodyText"/>
        <w:keepNext w:val="0"/>
        <w:spacing w:after="60"/>
      </w:pPr>
      <w:r>
        <w:rPr>
          <w:sz w:val="19"/>
        </w:rPr>
        <w:t>Registered office: Str. Victoriei nr. 45, etaj 2, ap. 9, Cugir, Alba County, Romania</w:t>
      </w:r>
    </w:p>
    <w:p>
      <w:pPr>
        <w:pStyle w:val="BodyText"/>
        <w:keepNext w:val="0"/>
        <w:spacing w:after="60"/>
      </w:pPr>
      <w:r>
        <w:rPr>
          <w:sz w:val="19"/>
        </w:rPr>
        <w:t>Administrator and legal representative: Cotoară Emanuel-Andrei</w:t>
      </w:r>
    </w:p>
    <w:p>
      <w:pPr>
        <w:pStyle w:val="BodyText"/>
        <w:keepNext w:val="0"/>
        <w:spacing w:after="100"/>
      </w:pPr>
      <w:r>
        <w:rPr>
          <w:sz w:val="19"/>
        </w:rPr>
        <w:t>www.boondocks.space | contact@boondocks.space</w:t>
      </w:r>
    </w:p>
    <w:p>
      <w:pPr>
        <w:pStyle w:val="BodyText"/>
        <w:keepNext/>
        <w:pageBreakBefore/>
        <w:spacing w:after="80"/>
      </w:pPr>
      <w:r>
        <w:rPr>
          <w:b/>
          <w:color w:val="D6512B"/>
          <w:sz w:val="20"/>
        </w:rPr>
        <w:t>01</w:t>
      </w:r>
    </w:p>
    <w:p>
      <w:pPr>
        <w:pStyle w:val="Heading1"/>
      </w:pPr>
      <w:r>
        <w:t>What BNDKS is intended to do</w:t>
      </w:r>
    </w:p>
    <w:p>
      <w:pPr>
        <w:pStyle w:val="BodyText"/>
        <w:keepNext/>
        <w:spacing w:after="240"/>
      </w:pPr>
      <w:r>
        <w:rPr>
          <w:color w:val="555D63"/>
          <w:sz w:val="21"/>
        </w:rPr>
        <w:t>Community participation is the purpose of the development plan</w:t>
      </w:r>
    </w:p>
    <w:p>
      <w:pPr>
        <w:pStyle w:val="BodyText"/>
        <w:keepNext w:val="0"/>
      </w:pPr>
      <w:r>
        <w:t>BNDKS is a community token being developed by Boondocks Space S.R.L. for planned deployment on Robinhood Chain. The development plan includes integrating it into the future Boondocks App, where selected functions could support community interaction and programme-specific participation.</w:t>
      </w:r>
    </w:p>
    <w:p>
      <w:pPr>
        <w:pStyle w:val="Heading2"/>
      </w:pPr>
      <w:r>
        <w:t>A practical direction for the App</w:t>
      </w:r>
    </w:p>
    <w:p>
      <w:pPr>
        <w:pStyle w:val="BodyText"/>
        <w:keepNext w:val="0"/>
      </w:pPr>
      <w:r>
        <w:t>For example, a future programme could check a disclosed token-holding requirement before admitting an eligible participant to a selected community space or creative activity. The programme would state its purpose, capacity, duration and any separate charge. This illustrates the intended direction; it is not an activated feature or a current purchase entitlement.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7142"/>
      </w:tblGrid>
      <w:tr>
        <w:trPr>
          <w:cantSplit/>
          <w:tblHeader/>
        </w:trPr>
        <w:tc>
          <w:tcPr>
            <w:tcW w:type="dxa" w:w="3024"/>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Development direction</w:t>
            </w:r>
          </w:p>
        </w:tc>
        <w:tc>
          <w:tcPr>
            <w:tcW w:type="dxa" w:w="7142"/>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Current position</w:t>
            </w:r>
          </w:p>
        </w:tc>
      </w:tr>
      <w:tr>
        <w:trPr>
          <w:cantSplit/>
        </w:trPr>
        <w:tc>
          <w:tcPr>
            <w:tcW w:type="dxa" w:w="302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Community interaction</w:t>
            </w:r>
          </w:p>
        </w:tc>
        <w:tc>
          <w:tcPr>
            <w:tcW w:type="dxa" w:w="714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Planned App discussions and selected participation spaces.</w:t>
            </w:r>
          </w:p>
        </w:tc>
      </w:tr>
      <w:tr>
        <w:trPr>
          <w:cantSplit/>
        </w:trPr>
        <w:tc>
          <w:tcPr>
            <w:tcW w:type="dxa" w:w="302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Programme-specific access</w:t>
            </w:r>
          </w:p>
        </w:tc>
        <w:tc>
          <w:tcPr>
            <w:tcW w:type="dxa" w:w="714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Conditional future functions with separately published eligibility and terms.</w:t>
            </w:r>
          </w:p>
        </w:tc>
      </w:tr>
      <w:tr>
        <w:trPr>
          <w:cantSplit/>
        </w:trPr>
        <w:tc>
          <w:tcPr>
            <w:tcW w:type="dxa" w:w="302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Participation recognition</w:t>
            </w:r>
          </w:p>
        </w:tc>
        <w:tc>
          <w:tcPr>
            <w:tcW w:type="dxa" w:w="714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Under consideration; no monetary reward is promised.</w:t>
            </w:r>
          </w:p>
        </w:tc>
      </w:tr>
      <w:tr>
        <w:trPr>
          <w:cantSplit/>
        </w:trPr>
        <w:tc>
          <w:tcPr>
            <w:tcW w:type="dxa" w:w="302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Accommodation or events</w:t>
            </w:r>
          </w:p>
        </w:tc>
        <w:tc>
          <w:tcPr>
            <w:tcW w:type="dxa" w:w="714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No entitlement from holding BNDKS; separate services and terms if offered.</w:t>
            </w:r>
          </w:p>
        </w:tc>
      </w:tr>
    </w:tbl>
    <w:p>
      <w:pPr>
        <w:pStyle w:val="BodyText"/>
        <w:keepNext w:val="0"/>
        <w:spacing w:after="40" w:line="40" w:lineRule="exact"/>
      </w:pPr>
      <w:r/>
    </w:p>
    <w:p>
      <w:pPr>
        <w:pStyle w:val="Heading2"/>
      </w:pPr>
      <w:r>
        <w:t>The reason to consider the token</w:t>
      </w:r>
    </w:p>
    <w:p>
      <w:pPr>
        <w:pStyle w:val="BodyText"/>
        <w:keepNext w:val="0"/>
      </w:pPr>
      <w:r>
        <w:t>BNDKS is intended for people who identify with the Boondocks direction and want to hold its community token. At this stage, that means acquiring the token while accepting unfinished development and market risk. No delivered App utility is established by this paper. Interest in the project does not establish financial value or a promise of future access.</w:t>
      </w:r>
    </w:p>
    <w:p>
      <w:pPr>
        <w:pStyle w:val="BodyText"/>
        <w:keepNext w:val="0"/>
      </w:pPr>
      <w:r>
        <w:t>Following Boondocks and joining its wider community do not require a purchase. If usable services today are essential to your decision, the planned functions should not be treated as available benefits.</w:t>
      </w:r>
    </w:p>
    <w:p>
      <w:pPr>
        <w:pStyle w:val="BodyText"/>
        <w:keepNext/>
        <w:pageBreakBefore/>
        <w:spacing w:after="80"/>
      </w:pPr>
      <w:r>
        <w:rPr>
          <w:b/>
          <w:color w:val="D6512B"/>
          <w:sz w:val="20"/>
        </w:rPr>
        <w:t>02</w:t>
      </w:r>
    </w:p>
    <w:p>
      <w:pPr>
        <w:pStyle w:val="Heading1"/>
      </w:pPr>
      <w:r>
        <w:t>What a purchase gives you</w:t>
      </w:r>
    </w:p>
    <w:p>
      <w:pPr>
        <w:pStyle w:val="BodyText"/>
        <w:keepNext/>
        <w:spacing w:after="240"/>
      </w:pPr>
      <w:r>
        <w:rPr>
          <w:color w:val="555D63"/>
          <w:sz w:val="21"/>
        </w:rPr>
        <w:t>The token and the wider company remain separate</w:t>
      </w:r>
    </w:p>
    <w:p>
      <w:pPr>
        <w:pStyle w:val="BodyText"/>
        <w:keepNext w:val="0"/>
      </w:pPr>
      <w:r>
        <w:t>After a completed transaction, a purchaser receives the amount of BNDKS recorded in the designated wallet, subject to the actual platform and contract settings. Units of the same token are interchangeable. The official contract address identifies the asset; a name or ticker alone does not.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790"/>
      </w:tblGrid>
      <w:tr>
        <w:trPr>
          <w:cantSplit/>
          <w:tblHeader/>
        </w:trPr>
        <w:tc>
          <w:tcPr>
            <w:tcW w:type="dxa" w:w="2376"/>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Subject</w:t>
            </w:r>
          </w:p>
        </w:tc>
        <w:tc>
          <w:tcPr>
            <w:tcW w:type="dxa" w:w="7790"/>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Holder position</w:t>
            </w:r>
          </w:p>
        </w:tc>
      </w:tr>
      <w:tr>
        <w:trPr>
          <w:cantSplit/>
        </w:trPr>
        <w:tc>
          <w:tcPr>
            <w:tcW w:type="dxa" w:w="2376"/>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Company and property</w:t>
            </w:r>
          </w:p>
        </w:tc>
        <w:tc>
          <w:tcPr>
            <w:tcW w:type="dxa" w:w="779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No company shares, corporate voting, land, cabins or claim over company or founder assets.</w:t>
            </w:r>
          </w:p>
        </w:tc>
      </w:tr>
      <w:tr>
        <w:trPr>
          <w:cantSplit/>
        </w:trPr>
        <w:tc>
          <w:tcPr>
            <w:tcW w:type="dxa" w:w="2376"/>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Income</w:t>
            </w:r>
          </w:p>
        </w:tc>
        <w:tc>
          <w:tcPr>
            <w:tcW w:type="dxa" w:w="779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No dividends, interest, staking yield or share of company or project revenue.</w:t>
            </w:r>
          </w:p>
        </w:tc>
      </w:tr>
      <w:tr>
        <w:trPr>
          <w:cantSplit/>
        </w:trPr>
        <w:tc>
          <w:tcPr>
            <w:tcW w:type="dxa" w:w="2376"/>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Future programmes</w:t>
            </w:r>
          </w:p>
        </w:tc>
        <w:tc>
          <w:tcPr>
            <w:tcW w:type="dxa" w:w="779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No automatic App, accommodation, event or service access. Activated programmes define their own terms.</w:t>
            </w:r>
          </w:p>
        </w:tc>
      </w:tr>
      <w:tr>
        <w:trPr>
          <w:cantSplit/>
        </w:trPr>
        <w:tc>
          <w:tcPr>
            <w:tcW w:type="dxa" w:w="2376"/>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Financial value</w:t>
            </w:r>
          </w:p>
        </w:tc>
        <w:tc>
          <w:tcPr>
            <w:tcW w:type="dxa" w:w="779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No stable value, guaranteed buyer, redemption, repurchase or financial return.</w:t>
            </w:r>
          </w:p>
        </w:tc>
      </w:tr>
      <w:tr>
        <w:trPr>
          <w:cantSplit/>
        </w:trPr>
        <w:tc>
          <w:tcPr>
            <w:tcW w:type="dxa" w:w="2376"/>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NFTs and intellectual property</w:t>
            </w:r>
          </w:p>
        </w:tc>
        <w:tc>
          <w:tcPr>
            <w:tcW w:type="dxa" w:w="779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No included NFT, artwork licence, copyright or ownership of the Boondocks brand.</w:t>
            </w:r>
          </w:p>
        </w:tc>
      </w:tr>
    </w:tbl>
    <w:p>
      <w:pPr>
        <w:pStyle w:val="BodyText"/>
        <w:keepNext w:val="0"/>
        <w:spacing w:after="40" w:line="40" w:lineRule="exact"/>
      </w:pPr>
      <w:r/>
    </w:p>
    <w:p>
      <w:pPr>
        <w:pStyle w:val="Heading2"/>
      </w:pPr>
      <w:r>
        <w:t>Participation without corporate control</w:t>
      </w:r>
    </w:p>
    <w:p>
      <w:pPr>
        <w:pStyle w:val="BodyText"/>
        <w:keepNext w:val="0"/>
      </w:pPr>
      <w:r>
        <w:t>Community discussions can inform the project. They do not give holders authority to direct company funds or bind Boondocks Space S.R.L. Any future consultation or recognition feature will publish its own limits.</w:t>
      </w:r>
    </w:p>
    <w:p>
      <w:pPr>
        <w:pStyle w:val="Heading2"/>
      </w:pPr>
      <w:r>
        <w:t>Future functions</w:t>
      </w:r>
    </w:p>
    <w:p>
      <w:pPr>
        <w:pStyle w:val="BodyText"/>
        <w:keepNext w:val="0"/>
      </w:pPr>
      <w:r>
        <w:t>Only a feature marked Available under published terms is currently offered. Planned, In Development and Conditional describe unfinished work or dependencies. Paused and Discontinued features will be explained through dated updates. Holding or trading BNDKS does not by itself create an access entitlement.</w:t>
      </w:r>
    </w:p>
    <w:p>
      <w:pPr>
        <w:pStyle w:val="BodyText"/>
        <w:keepNext w:val="0"/>
      </w:pPr>
      <w:r>
        <w:t>Planned functions may be delayed, changed or never released. Changes do not erase mandatory legal rights or valid commitments already made under activated programmes.</w:t>
      </w:r>
    </w:p>
    <w:p>
      <w:pPr>
        <w:pStyle w:val="BodyText"/>
        <w:keepNext/>
        <w:pageBreakBefore/>
        <w:spacing w:after="80"/>
      </w:pPr>
      <w:r>
        <w:rPr>
          <w:b/>
          <w:color w:val="D6512B"/>
          <w:sz w:val="20"/>
        </w:rPr>
        <w:t>03</w:t>
      </w:r>
    </w:p>
    <w:p>
      <w:pPr>
        <w:pStyle w:val="Heading1"/>
      </w:pPr>
      <w:r>
        <w:t>The planned launch</w:t>
      </w:r>
    </w:p>
    <w:p>
      <w:pPr>
        <w:pStyle w:val="BodyText"/>
        <w:keepNext/>
        <w:spacing w:after="240"/>
      </w:pPr>
      <w:r>
        <w:rPr>
          <w:color w:val="555D63"/>
          <w:sz w:val="21"/>
        </w:rPr>
        <w:t>Ponsfamily on Robinhood Chain with release-specific disclosures</w:t>
      </w:r>
    </w:p>
    <w:p>
      <w:pPr>
        <w:pStyle w:val="BodyText"/>
        <w:keepNext w:val="0"/>
      </w:pPr>
      <w:r>
        <w:t>The launch is planned through Ponsfamily (pons) on Robinhood Chain in October 2026. The opening date depends on technical readiness, complete launch information and the applicable legal route. A planned launch window is not confirmation that purchases are open.</w:t>
      </w:r>
    </w:p>
    <w:p>
      <w:pPr>
        <w:pStyle w:val="BodyText"/>
        <w:keepNext w:val="0"/>
      </w:pPr>
      <w:r>
        <w:t>Pons documents different versions: v1 begins in a WETH trading pool; v2 starts on a bonding curve and later graduates into a Uniswap v4 pool. Their pricing and fee settings differ. The selected BNDKS version is not yet confirmed. [1,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718"/>
      </w:tblGrid>
      <w:tr>
        <w:trPr>
          <w:cantSplit/>
          <w:tblHeader/>
        </w:trPr>
        <w:tc>
          <w:tcPr>
            <w:tcW w:type="dxa" w:w="244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Launch information</w:t>
            </w:r>
          </w:p>
        </w:tc>
        <w:tc>
          <w:tcPr>
            <w:tcW w:type="dxa" w:w="771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To be confirmed for BNDKS</w:t>
            </w:r>
          </w:p>
        </w:tc>
      </w:tr>
      <w:tr>
        <w:trPr>
          <w:cantSplit/>
        </w:trPr>
        <w:tc>
          <w:tcPr>
            <w:tcW w:type="dxa" w:w="24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Identity and supply</w:t>
            </w:r>
          </w:p>
        </w:tc>
        <w:tc>
          <w:tcPr>
            <w:tcW w:type="dxa" w:w="77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Official contract and explorer link, standard, decimals, supply and any administrative permissions.</w:t>
            </w:r>
          </w:p>
        </w:tc>
      </w:tr>
      <w:tr>
        <w:trPr>
          <w:cantSplit/>
        </w:trPr>
        <w:tc>
          <w:tcPr>
            <w:tcW w:type="dxa" w:w="244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Distribution and interests</w:t>
            </w:r>
          </w:p>
        </w:tc>
        <w:tc>
          <w:tcPr>
            <w:tcW w:type="dxa" w:w="771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Allocation mechanics, company or founder purchases and holdings, related-party interests, reserves and any enforceable locks.</w:t>
            </w:r>
          </w:p>
        </w:tc>
      </w:tr>
      <w:tr>
        <w:trPr>
          <w:cantSplit/>
        </w:trPr>
        <w:tc>
          <w:tcPr>
            <w:tcW w:type="dxa" w:w="24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Trading</w:t>
            </w:r>
          </w:p>
        </w:tc>
        <w:tc>
          <w:tcPr>
            <w:tcW w:type="dxa" w:w="77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Pons version, pairing asset, pricing, slippage, opening restrictions, liquidity and any graduation mechanics.</w:t>
            </w:r>
          </w:p>
        </w:tc>
      </w:tr>
      <w:tr>
        <w:trPr>
          <w:cantSplit/>
        </w:trPr>
        <w:tc>
          <w:tcPr>
            <w:tcW w:type="dxa" w:w="244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Fees</w:t>
            </w:r>
          </w:p>
        </w:tc>
        <w:tc>
          <w:tcPr>
            <w:tcW w:type="dxa" w:w="771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Total applicable charges, temporary launch protections if any, creator share or tax, recipients and payout method.</w:t>
            </w:r>
          </w:p>
        </w:tc>
      </w:tr>
      <w:tr>
        <w:trPr>
          <w:cantSplit/>
        </w:trPr>
        <w:tc>
          <w:tcPr>
            <w:tcW w:type="dxa" w:w="24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Eligibility and evidence</w:t>
            </w:r>
          </w:p>
        </w:tc>
        <w:tc>
          <w:tcPr>
            <w:tcW w:type="dxa" w:w="77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Opening time, restrictions, terms, risks, required email and telephone contacts, and completed testing or reviews.</w:t>
            </w:r>
          </w:p>
        </w:tc>
      </w:tr>
    </w:tbl>
    <w:p>
      <w:pPr>
        <w:pStyle w:val="BodyText"/>
        <w:keepNext w:val="0"/>
        <w:spacing w:after="40" w:line="40" w:lineRule="exact"/>
      </w:pPr>
      <w:r/>
    </w:p>
    <w:p>
      <w:pPr>
        <w:pStyle w:val="Heading2"/>
      </w:pPr>
      <w:r>
        <w:t>What the platform does not prove</w:t>
      </w:r>
    </w:p>
    <w:p>
      <w:pPr>
        <w:pStyle w:val="BodyText"/>
        <w:keepNext w:val="0"/>
      </w:pPr>
      <w:r>
        <w:t>A platform listing, a locked pool or graduation is not evidence of guaranteed quality, resale or price support. Use of Robinhood Chain does not imply a Robinhood Europe app listing or endorsement.</w:t>
      </w:r>
    </w:p>
    <w:p>
      <w:pPr>
        <w:pStyle w:val="BodyText"/>
        <w:keepNext w:val="0"/>
      </w:pPr>
      <w:r>
        <w:t>The final notice will publish launch settings before opening and identify the deployed address for verification before a purchase. If deployment and trading begin together, the publication and verification process must be designed for that actual sequence. Historic supply figures or a fixed 1% company fee are not confirmed BNDKS settings.</w:t>
      </w:r>
    </w:p>
    <w:p>
      <w:pPr>
        <w:pStyle w:val="BodyText"/>
        <w:keepNext/>
        <w:pageBreakBefore/>
        <w:spacing w:after="80"/>
      </w:pPr>
      <w:r>
        <w:rPr>
          <w:b/>
          <w:color w:val="D6512B"/>
          <w:sz w:val="20"/>
        </w:rPr>
        <w:t>04</w:t>
      </w:r>
    </w:p>
    <w:p>
      <w:pPr>
        <w:pStyle w:val="Heading1"/>
      </w:pPr>
      <w:r>
        <w:t>Fees and the company model</w:t>
      </w:r>
    </w:p>
    <w:p>
      <w:pPr>
        <w:pStyle w:val="BodyText"/>
        <w:keepNext/>
        <w:spacing w:after="240"/>
      </w:pPr>
      <w:r>
        <w:rPr>
          <w:color w:val="555D63"/>
          <w:sz w:val="21"/>
        </w:rPr>
        <w:t>Trading activity and company income are different quantities</w:t>
      </w:r>
    </w:p>
    <w:p>
      <w:pPr>
        <w:pStyle w:val="BodyText"/>
        <w:keepNext w:val="0"/>
      </w:pPr>
      <w:r>
        <w:t>Depending on the selected Pons version and configuration, trading can generate a creator fee share or tax payable to a designated company wallet. The final disclosure must show the applicable rate, its calculation basis, payout asset and recipient. Network gas and platform charges are separate costs.</w:t>
      </w:r>
    </w:p>
    <w:p>
      <w:pPr>
        <w:pStyle w:val="Heading2"/>
      </w:pPr>
      <w:r>
        <w:t>How to read the economics</w:t>
      </w:r>
    </w:p>
    <w:p>
      <w:pPr>
        <w:pStyle w:val="BodyText"/>
        <w:keepNext w:val="0"/>
      </w:pPr>
      <w:r>
        <w:t>Where a fee is volume-based, gross company receipts depend on eligible trading volume and the effective creator rate actually paid to the company. Net resources also depend on collection or conversion costs, taxes and operating expenses. A headline platform fee may be shared between recipients; it is not automatically the company rate.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36"/>
        <w:gridCol w:w="7430"/>
      </w:tblGrid>
      <w:tr>
        <w:trPr>
          <w:cantSplit/>
          <w:tblHeader/>
        </w:trPr>
        <w:tc>
          <w:tcPr>
            <w:tcW w:type="dxa" w:w="2736"/>
            <w:vAlign w:val="center"/>
            <w:shd w:fill="171B1E"/>
            <w:tcMar>
              <w:top w:w="95" w:type="dxa"/>
              <w:bottom w:w="95" w:type="dxa"/>
              <w:left w:w="110" w:type="dxa"/>
              <w:right w:w="110" w:type="dxa"/>
            </w:tcMar>
          </w:tcPr>
          <w:p>
            <w:pPr>
              <w:pStyle w:val="Compact"/>
              <w:keepNext w:val="0"/>
              <w:spacing w:before="0" w:after="0" w:line="257" w:lineRule="auto"/>
              <w:jc w:val="center"/>
            </w:pPr>
            <w:r>
              <w:rPr>
                <w:rFonts w:ascii="Arial" w:hAnsi="Arial"/>
                <w:b/>
                <w:color w:val="FFFFFF"/>
                <w:sz w:val="19"/>
              </w:rPr>
              <w:t>Quantity</w:t>
            </w:r>
          </w:p>
        </w:tc>
        <w:tc>
          <w:tcPr>
            <w:tcW w:type="dxa" w:w="7430"/>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Meaning</w:t>
            </w:r>
          </w:p>
        </w:tc>
      </w:tr>
      <w:tr>
        <w:trPr>
          <w:cantSplit/>
        </w:trPr>
        <w:tc>
          <w:tcPr>
            <w:tcW w:type="dxa" w:w="2736"/>
            <w:vAlign w:val="center"/>
            <w:shd w:fill="FFFFFF"/>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Trading volume</w:t>
            </w:r>
          </w:p>
        </w:tc>
        <w:tc>
          <w:tcPr>
            <w:tcW w:type="dxa" w:w="743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Market activity; it is not the company turnover received in full.</w:t>
            </w:r>
          </w:p>
        </w:tc>
      </w:tr>
      <w:tr>
        <w:trPr>
          <w:cantSplit/>
        </w:trPr>
        <w:tc>
          <w:tcPr>
            <w:tcW w:type="dxa" w:w="2736"/>
            <w:vAlign w:val="center"/>
            <w:shd w:fill="F4F5F5"/>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Market capitalisation</w:t>
            </w:r>
          </w:p>
        </w:tc>
        <w:tc>
          <w:tcPr>
            <w:tcW w:type="dxa" w:w="743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 market valuation indicator; it is not company cash or assured exit liquidity.</w:t>
            </w:r>
          </w:p>
        </w:tc>
      </w:tr>
      <w:tr>
        <w:trPr>
          <w:cantSplit/>
        </w:trPr>
        <w:tc>
          <w:tcPr>
            <w:tcW w:type="dxa" w:w="2736"/>
            <w:vAlign w:val="center"/>
            <w:shd w:fill="FFFFFF"/>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Creator fee receipts</w:t>
            </w:r>
          </w:p>
        </w:tc>
        <w:tc>
          <w:tcPr>
            <w:tcW w:type="dxa" w:w="743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Amounts actually payable to the company under the selected settings.</w:t>
            </w:r>
          </w:p>
        </w:tc>
      </w:tr>
      <w:tr>
        <w:trPr>
          <w:cantSplit/>
        </w:trPr>
        <w:tc>
          <w:tcPr>
            <w:tcW w:type="dxa" w:w="2736"/>
            <w:vAlign w:val="center"/>
            <w:shd w:fill="F4F5F5"/>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Liquidity and token holdings</w:t>
            </w:r>
          </w:p>
        </w:tc>
        <w:tc>
          <w:tcPr>
            <w:tcW w:type="dxa" w:w="743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Separate assets or balances with their own control, valuation and risk.</w:t>
            </w:r>
          </w:p>
        </w:tc>
      </w:tr>
    </w:tbl>
    <w:p>
      <w:pPr>
        <w:pStyle w:val="BodyText"/>
        <w:keepNext w:val="0"/>
        <w:spacing w:after="40" w:line="40" w:lineRule="exact"/>
      </w:pPr>
      <w:r/>
    </w:p>
    <w:p>
      <w:pPr>
        <w:pStyle w:val="Heading2"/>
      </w:pPr>
      <w:r>
        <w:t>What this can support</w:t>
      </w:r>
    </w:p>
    <w:p>
      <w:pPr>
        <w:pStyle w:val="BodyText"/>
        <w:keepNext w:val="0"/>
      </w:pPr>
      <w:r>
        <w:t>Company resources may support lawful App development, content, creative work, security, professional services and operations. No fixed budget split or ring-fenced development fund is established. Low trading activity can produce little or no fee income, so future development cannot be presented as fully funded by expected activity.</w:t>
      </w:r>
    </w:p>
    <w:p>
      <w:pPr>
        <w:pStyle w:val="BodyText"/>
        <w:keepNext w:val="0"/>
      </w:pPr>
      <w:r>
        <w:t>Holder fee sharing, staking rewards and buybacks are not announced BNDKS benefits. Company receipts do not belong to token holders. Company, founder or related-party holdings and fee interests can create conflicts and must be disclosed according to the final arrangement.</w:t>
      </w:r>
    </w:p>
    <w:p>
      <w:pPr>
        <w:pStyle w:val="BodyText"/>
        <w:keepNext w:val="0"/>
      </w:pPr>
      <w:r>
        <w:t>A company investor would need separate budgets, funding needs, demand evidence and financial scenarios. Token ownership gives no equity or right to those business results.</w:t>
      </w:r>
    </w:p>
    <w:p>
      <w:pPr>
        <w:pStyle w:val="BodyText"/>
        <w:keepNext/>
        <w:pageBreakBefore/>
        <w:spacing w:after="80"/>
      </w:pPr>
      <w:r>
        <w:rPr>
          <w:b/>
          <w:color w:val="D6512B"/>
          <w:sz w:val="20"/>
        </w:rPr>
        <w:t>05</w:t>
      </w:r>
    </w:p>
    <w:p>
      <w:pPr>
        <w:pStyle w:val="Heading1"/>
      </w:pPr>
      <w:r>
        <w:t>Development you can verify</w:t>
      </w:r>
    </w:p>
    <w:p>
      <w:pPr>
        <w:pStyle w:val="BodyText"/>
        <w:keepNext/>
        <w:spacing w:after="240"/>
      </w:pPr>
      <w:r>
        <w:rPr>
          <w:color w:val="555D63"/>
          <w:sz w:val="21"/>
        </w:rPr>
        <w:t>Progress is measured by delivery rather than market activity</w:t>
      </w:r>
    </w:p>
    <w:p>
      <w:pPr>
        <w:pStyle w:val="BodyText"/>
        <w:keepNext w:val="0"/>
      </w:pPr>
      <w:r>
        <w:t>The plan starts with a verifiable token launch and proceeds towards tested App functions. The App integration has no confirmed release date in this paper. Each step should create evidence that people can inspect.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4248"/>
        <w:gridCol w:w="4118"/>
      </w:tblGrid>
      <w:tr>
        <w:trPr>
          <w:cantSplit/>
          <w:tblHeader/>
        </w:trPr>
        <w:tc>
          <w:tcPr>
            <w:tcW w:type="dxa" w:w="1800"/>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Stage</w:t>
            </w:r>
          </w:p>
        </w:tc>
        <w:tc>
          <w:tcPr>
            <w:tcW w:type="dxa" w:w="424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Planned work</w:t>
            </w:r>
          </w:p>
        </w:tc>
        <w:tc>
          <w:tcPr>
            <w:tcW w:type="dxa" w:w="411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Evidence of completion</w:t>
            </w:r>
          </w:p>
        </w:tc>
      </w:tr>
      <w:tr>
        <w:trPr>
          <w:cantSplit/>
        </w:trPr>
        <w:tc>
          <w:tcPr>
            <w:tcW w:type="dxa" w:w="180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Before opening</w:t>
            </w:r>
          </w:p>
        </w:tc>
        <w:tc>
          <w:tcPr>
            <w:tcW w:type="dxa" w:w="42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Select the Pons configuration and complete product, technical and legal disclosures.</w:t>
            </w:r>
          </w:p>
        </w:tc>
        <w:tc>
          <w:tcPr>
            <w:tcW w:type="dxa" w:w="41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Versioned launch notice, terms, settings and authenticity information.</w:t>
            </w:r>
          </w:p>
        </w:tc>
      </w:tr>
      <w:tr>
        <w:trPr>
          <w:cantSplit/>
        </w:trPr>
        <w:tc>
          <w:tcPr>
            <w:tcW w:type="dxa" w:w="180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October 2026 target</w:t>
            </w:r>
          </w:p>
        </w:tc>
        <w:tc>
          <w:tcPr>
            <w:tcW w:type="dxa" w:w="424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Launch on Robinhood Chain through Ponsfamily if ready.</w:t>
            </w:r>
          </w:p>
        </w:tc>
        <w:tc>
          <w:tcPr>
            <w:tcW w:type="dxa" w:w="411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Verified deployment and the official launch page.</w:t>
            </w:r>
          </w:p>
        </w:tc>
      </w:tr>
      <w:tr>
        <w:trPr>
          <w:cantSplit/>
        </w:trPr>
        <w:tc>
          <w:tcPr>
            <w:tcW w:type="dxa" w:w="180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After launch</w:t>
            </w:r>
          </w:p>
        </w:tc>
        <w:tc>
          <w:tcPr>
            <w:tcW w:type="dxa" w:w="42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Record company receipts and develop App integration.</w:t>
            </w:r>
          </w:p>
        </w:tc>
        <w:tc>
          <w:tcPr>
            <w:tcW w:type="dxa" w:w="41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Dated progress updates and identifiable development work.</w:t>
            </w:r>
          </w:p>
        </w:tc>
      </w:tr>
      <w:tr>
        <w:trPr>
          <w:cantSplit/>
        </w:trPr>
        <w:tc>
          <w:tcPr>
            <w:tcW w:type="dxa" w:w="180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Feature release</w:t>
            </w:r>
          </w:p>
        </w:tc>
        <w:tc>
          <w:tcPr>
            <w:tcW w:type="dxa" w:w="424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Test and activate selected community functions.</w:t>
            </w:r>
          </w:p>
        </w:tc>
        <w:tc>
          <w:tcPr>
            <w:tcW w:type="dxa" w:w="411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Available status, usable functionality, eligibility, terms and support.</w:t>
            </w:r>
          </w:p>
        </w:tc>
      </w:tr>
      <w:tr>
        <w:trPr>
          <w:cantSplit/>
        </w:trPr>
        <w:tc>
          <w:tcPr>
            <w:tcW w:type="dxa" w:w="180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Longer term</w:t>
            </w:r>
          </w:p>
        </w:tc>
        <w:tc>
          <w:tcPr>
            <w:tcW w:type="dxa" w:w="42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Explore cultural collaborations and place-based projects.</w:t>
            </w:r>
          </w:p>
        </w:tc>
        <w:tc>
          <w:tcPr>
            <w:tcW w:type="dxa" w:w="41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Confirmed agreements and documented project stages.</w:t>
            </w:r>
          </w:p>
        </w:tc>
      </w:tr>
    </w:tbl>
    <w:p>
      <w:pPr>
        <w:pStyle w:val="BodyText"/>
        <w:keepNext w:val="0"/>
        <w:spacing w:after="40" w:line="40" w:lineRule="exact"/>
      </w:pPr>
      <w:r/>
    </w:p>
    <w:p>
      <w:pPr>
        <w:pStyle w:val="Heading2"/>
      </w:pPr>
      <w:r>
        <w:t>Responsibility and communication</w:t>
      </w:r>
    </w:p>
    <w:p>
      <w:pPr>
        <w:pStyle w:val="BodyText"/>
        <w:keepNext w:val="0"/>
      </w:pPr>
      <w:r>
        <w:t>Boondocks Space S.R.L. develops the project. Cotoară Emanuel-Andrei is its administrator and legal representative. The company retains corporate decision-making responsibility; holders can contribute feedback without acquiring company control.</w:t>
      </w:r>
    </w:p>
    <w:p>
      <w:pPr>
        <w:pStyle w:val="BodyText"/>
        <w:keepNext w:val="0"/>
      </w:pPr>
      <w:r>
        <w:t>Confirmed partners and completed reviews will be identified with their scope. No implemented multisignature wallet, insurance, certification or external legal opinion is asserted here. Public statements about such controls require actual evidence.</w:t>
      </w:r>
    </w:p>
    <w:p>
      <w:pPr>
        <w:pStyle w:val="Heading2"/>
      </w:pPr>
      <w:r>
        <w:t>What an update should answer</w:t>
      </w:r>
    </w:p>
    <w:p>
      <w:pPr>
        <w:pStyle w:val="BodyText"/>
        <w:keepNext w:val="0"/>
      </w:pPr>
      <w:r>
        <w:t>What has been completed? What is being built? What dependency or delay remains? What has changed for holders? Material changes will be dated and explained, while valid commitments and mandatory rights remain protected.</w:t>
      </w:r>
    </w:p>
    <w:p>
      <w:pPr>
        <w:pStyle w:val="BodyText"/>
        <w:keepNext w:val="0"/>
      </w:pPr>
      <w:r>
        <w:t>The wider architectural vision needs separate sites, permissions and financing. BNDKS is not asset-backed, and its launch does not establish ownership or delivery of a cabin.</w:t>
      </w:r>
    </w:p>
    <w:p>
      <w:pPr>
        <w:pStyle w:val="BodyText"/>
        <w:keepNext/>
        <w:pageBreakBefore/>
        <w:spacing w:after="80"/>
      </w:pPr>
      <w:r>
        <w:rPr>
          <w:b/>
          <w:color w:val="D6512B"/>
          <w:sz w:val="20"/>
        </w:rPr>
        <w:t>06</w:t>
      </w:r>
    </w:p>
    <w:p>
      <w:pPr>
        <w:pStyle w:val="Heading1"/>
      </w:pPr>
      <w:r>
        <w:t>Risk and the purchase decision</w:t>
      </w:r>
    </w:p>
    <w:p>
      <w:pPr>
        <w:pStyle w:val="BodyText"/>
        <w:keepNext/>
        <w:spacing w:after="240"/>
      </w:pPr>
      <w:r>
        <w:rPr>
          <w:color w:val="555D63"/>
          <w:sz w:val="21"/>
        </w:rPr>
        <w:t>Buying or trading BNDKS can result in a complete loss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7574"/>
      </w:tblGrid>
      <w:tr>
        <w:trPr>
          <w:cantSplit/>
          <w:tblHeader/>
        </w:trPr>
        <w:tc>
          <w:tcPr>
            <w:tcW w:type="dxa" w:w="2592"/>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Risk</w:t>
            </w:r>
          </w:p>
        </w:tc>
        <w:tc>
          <w:tcPr>
            <w:tcW w:type="dxa" w:w="7574"/>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Practical consequence</w:t>
            </w:r>
          </w:p>
        </w:tc>
      </w:tr>
      <w:tr>
        <w:trPr>
          <w:cantSplit/>
        </w:trPr>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Price and liquidity</w:t>
            </w:r>
          </w:p>
        </w:tc>
        <w:tc>
          <w:tcPr>
            <w:tcW w:type="dxa" w:w="757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Value can fall to zero. You may have no buyer or usable exit; slippage and fees can add losses.</w:t>
            </w:r>
          </w:p>
        </w:tc>
      </w:tr>
      <w:tr>
        <w:trPr>
          <w:cantSplit/>
        </w:trPr>
        <w:tc>
          <w:tcPr>
            <w:tcW w:type="dxa" w:w="259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Bots and concentration</w:t>
            </w:r>
          </w:p>
        </w:tc>
        <w:tc>
          <w:tcPr>
            <w:tcW w:type="dxa" w:w="757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Large holders, opening restrictions and automated trading can produce sharp price changes or poor execution.</w:t>
            </w:r>
          </w:p>
        </w:tc>
      </w:tr>
      <w:tr>
        <w:trPr>
          <w:cantSplit/>
        </w:trPr>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Technology and third parties</w:t>
            </w:r>
          </w:p>
        </w:tc>
        <w:tc>
          <w:tcPr>
            <w:tcW w:type="dxa" w:w="757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Contract bugs, network outages, platform changes or pairing-asset problems can affect trading and holdings.</w:t>
            </w:r>
          </w:p>
        </w:tc>
      </w:tr>
      <w:tr>
        <w:trPr>
          <w:cantSplit/>
        </w:trPr>
        <w:tc>
          <w:tcPr>
            <w:tcW w:type="dxa" w:w="259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Wallets and fraud</w:t>
            </w:r>
          </w:p>
        </w:tc>
        <w:tc>
          <w:tcPr>
            <w:tcW w:type="dxa" w:w="757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Phishing, imitation tokens, malicious signatures and lost keys can cause irreversible loss.</w:t>
            </w:r>
          </w:p>
        </w:tc>
      </w:tr>
      <w:tr>
        <w:trPr>
          <w:cantSplit/>
        </w:trPr>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Project execution</w:t>
            </w:r>
          </w:p>
        </w:tc>
        <w:tc>
          <w:tcPr>
            <w:tcW w:type="dxa" w:w="757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App functions, partnerships or other future plans may be delayed, changed or never delivered.</w:t>
            </w:r>
          </w:p>
        </w:tc>
      </w:tr>
      <w:tr>
        <w:trPr>
          <w:cantSplit/>
        </w:trPr>
        <w:tc>
          <w:tcPr>
            <w:tcW w:type="dxa" w:w="259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Legal and operational changes</w:t>
            </w:r>
          </w:p>
        </w:tc>
        <w:tc>
          <w:tcPr>
            <w:tcW w:type="dxa" w:w="757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Restrictions, tax treatment or limited company resources may affect the project and future services.</w:t>
            </w:r>
          </w:p>
        </w:tc>
      </w:tr>
    </w:tbl>
    <w:p>
      <w:pPr>
        <w:pStyle w:val="BodyText"/>
        <w:keepNext w:val="0"/>
        <w:spacing w:after="40" w:line="40" w:lineRule="exact"/>
      </w:pPr>
      <w:r/>
    </w:p>
    <w:p>
      <w:pPr>
        <w:pStyle w:val="Heading2"/>
      </w:pPr>
      <w:r>
        <w:t>Before signing a transaction</w:t>
      </w:r>
    </w:p>
    <w:p>
      <w:pPr>
        <w:pStyle w:val="BodyText"/>
        <w:keepNext w:val="0"/>
      </w:pPr>
      <w:r>
        <w:t>Use the official link from boondocks.space. Compare the full contract address and network, review the selected platform model, quote asset and total charges, then inspect the transaction preview. A temporary opening tax, where applicable, can change the amount received. Never share private keys or seed phrases.</w:t>
      </w:r>
    </w:p>
    <w:p>
      <w:pPr>
        <w:pStyle w:val="Heading2"/>
      </w:pPr>
      <w:r>
        <w:t>Rights and data</w:t>
      </w:r>
    </w:p>
    <w:p>
      <w:pPr>
        <w:pStyle w:val="BodyText"/>
        <w:keepNext w:val="0"/>
      </w:pPr>
      <w:r>
        <w:t>Platform terms and any Boondocks programme terms have different scopes. Neither removes mandatory legal rights. Blockchain irreversibility does not alone eliminate withdrawal, complaint, remedy or compensation rights; their availability depends on the actual transaction and applicable law.</w:t>
      </w:r>
    </w:p>
    <w:p>
      <w:pPr>
        <w:pStyle w:val="BodyText"/>
        <w:keepNext w:val="0"/>
      </w:pPr>
      <w:r>
        <w:t>Wallet activity can reveal balances and transaction history. A future wallet-to-account connection may identify a person. Data purposes, providers and retention will be explained in the applicable privacy notice. Holder tax obligations are separate from company accounting.</w:t>
      </w:r>
    </w:p>
    <w:p>
      <w:pPr>
        <w:pStyle w:val="BodyText"/>
        <w:keepNext w:val="0"/>
      </w:pPr>
      <w:r>
        <w:t>Proceed only after understanding the final launch information and the possibility of losing the full amount spent. Planned participation and market price are uncertain, and locked liquidity or technical testing does not remove that uncertainty.</w:t>
      </w:r>
    </w:p>
    <w:p>
      <w:pPr>
        <w:pStyle w:val="BodyText"/>
        <w:keepNext/>
        <w:pageBreakBefore/>
        <w:spacing w:after="80"/>
      </w:pPr>
      <w:r>
        <w:rPr>
          <w:b/>
          <w:color w:val="D6512B"/>
          <w:sz w:val="20"/>
        </w:rPr>
        <w:t>07</w:t>
      </w:r>
    </w:p>
    <w:p>
      <w:pPr>
        <w:pStyle w:val="Heading1"/>
      </w:pPr>
      <w:r>
        <w:t>Company information and legal context</w:t>
      </w:r>
    </w:p>
    <w:p>
      <w:pPr>
        <w:pStyle w:val="BodyText"/>
        <w:keepNext/>
        <w:spacing w:after="240"/>
      </w:pPr>
      <w:r>
        <w:rPr>
          <w:color w:val="555D63"/>
          <w:sz w:val="21"/>
        </w:rPr>
        <w:t>Classification follows the real asset and transaction</w:t>
      </w:r>
    </w:p>
    <w:p>
      <w:pPr>
        <w:pStyle w:val="BodyText"/>
        <w:keepNext w:val="0"/>
      </w:pPr>
      <w:r>
        <w:t>BNDKS is fungible. Its community purpose and FanCoin name do not establish a MiCA exemption. No company ownership, stable value or company revenue share is promised, but these limits do not alone exclude crypto-asset regulation.</w:t>
      </w:r>
    </w:p>
    <w:p>
      <w:pPr>
        <w:pStyle w:val="Heading2"/>
      </w:pPr>
      <w:r>
        <w:t>The offer and trading route</w:t>
      </w:r>
    </w:p>
    <w:p>
      <w:pPr>
        <w:pStyle w:val="BodyText"/>
        <w:keepNext w:val="0"/>
      </w:pPr>
      <w:r>
        <w:t>Article 4 provides conditional exemptions from specified obligations. The EUR 1 million provision concerns total consideration of the relevant EU offer over 12 months; creator-fee receipts alone do not establish eligibility. Planned App utility is not an operating service on which the existing-service exemption can simply be based. [3]</w:t>
      </w:r>
    </w:p>
    <w:p>
      <w:pPr>
        <w:pStyle w:val="BodyText"/>
        <w:keepNext w:val="0"/>
      </w:pPr>
      <w:r>
        <w:t>The Commission answer published by ESMA clarifies that the admission to trading addressed by Article 4(4) concerns a platform operated by a crypto-asset service provider established in the Union. It does not make every DEX listing an automatic loss of exemption. A decentralised listing can still amount to a public offer; fully decentralised service status is assessed case by case. The actual Pons route and offer must be assessed. [4]</w:t>
      </w:r>
    </w:p>
    <w:p>
      <w:pPr>
        <w:pStyle w:val="BodyText"/>
        <w:keepNext w:val="0"/>
      </w:pPr>
      <w:r>
        <w:t>This public paper does not settle that assessment or replace a required MiCA white paper. The legal route, any required notification and publications, prescribed marketing notices, roles and eligibility must be resolved for the launch. A platform does not automatically assume all company obligations.</w:t>
      </w:r>
    </w:p>
    <w:p>
      <w:pPr>
        <w:pStyle w:val="Heading2"/>
      </w:pPr>
      <w:r>
        <w:t>Official company contact</w:t>
      </w:r>
    </w:p>
    <w:p>
      <w:pPr>
        <w:pStyle w:val="BodyText"/>
        <w:keepNext w:val="0"/>
        <w:spacing w:after="60"/>
      </w:pPr>
      <w:r>
        <w:rPr>
          <w:b/>
        </w:rPr>
        <w:t>Boondocks Space S.R.L.</w:t>
      </w:r>
    </w:p>
    <w:p>
      <w:pPr>
        <w:pStyle w:val="BodyText"/>
        <w:keepNext w:val="0"/>
        <w:spacing w:after="60"/>
      </w:pPr>
      <w:r>
        <w:rPr>
          <w:sz w:val="19"/>
        </w:rPr>
        <w:t>CUI 52418244 | Trade Register J2025065663009</w:t>
      </w:r>
    </w:p>
    <w:p>
      <w:pPr>
        <w:pStyle w:val="BodyText"/>
        <w:keepNext w:val="0"/>
        <w:spacing w:after="60"/>
      </w:pPr>
      <w:r>
        <w:rPr>
          <w:sz w:val="19"/>
        </w:rPr>
        <w:t>Registered office: Str. Victoriei nr. 45, etaj 2, ap. 9, Cugir, Alba County, Romania</w:t>
      </w:r>
    </w:p>
    <w:p>
      <w:pPr>
        <w:pStyle w:val="BodyText"/>
        <w:keepNext w:val="0"/>
        <w:spacing w:after="60"/>
      </w:pPr>
      <w:r>
        <w:rPr>
          <w:sz w:val="19"/>
        </w:rPr>
        <w:t>Administrator and legal representative: Cotoară Emanuel-Andrei</w:t>
      </w:r>
    </w:p>
    <w:p>
      <w:pPr>
        <w:pStyle w:val="BodyText"/>
        <w:keepNext w:val="0"/>
        <w:spacing w:after="100"/>
      </w:pPr>
      <w:r>
        <w:rPr>
          <w:sz w:val="19"/>
        </w:rPr>
        <w:t>www.boondocks.space | contact@boondocks.space</w:t>
      </w:r>
    </w:p>
    <w:p>
      <w:pPr>
        <w:pStyle w:val="Heading2"/>
      </w:pPr>
      <w:r>
        <w:t>Official references</w:t>
      </w:r>
    </w:p>
    <w:p>
      <w:pPr>
        <w:pStyle w:val="BodyText"/>
        <w:spacing w:after="80"/>
      </w:pPr>
      <w:hyperlink r:id="rId16">
        <w:r>
          <w:rPr>
            <w:sz w:val="18"/>
            <w:color w:val="555D63"/>
          </w:rPr>
          <w:t>[1] Pons v1 launch and fee documentation</w:t>
        </w:r>
      </w:hyperlink>
    </w:p>
    <w:p>
      <w:pPr>
        <w:pStyle w:val="BodyText"/>
        <w:spacing w:after="80"/>
      </w:pPr>
      <w:hyperlink r:id="rId17">
        <w:r>
          <w:rPr>
            <w:sz w:val="18"/>
            <w:color w:val="555D63"/>
          </w:rPr>
          <w:t>[2] Pons v2 launch and fee documentation</w:t>
        </w:r>
      </w:hyperlink>
    </w:p>
    <w:p>
      <w:pPr>
        <w:pStyle w:val="BodyText"/>
        <w:spacing w:after="80"/>
      </w:pPr>
      <w:hyperlink r:id="rId13">
        <w:r>
          <w:rPr>
            <w:sz w:val="18"/>
            <w:color w:val="555D63"/>
          </w:rPr>
          <w:t>[3] MiCA Article 4 offers and exemptions</w:t>
        </w:r>
      </w:hyperlink>
    </w:p>
    <w:p>
      <w:pPr>
        <w:pStyle w:val="BodyText"/>
        <w:spacing w:after="80"/>
      </w:pPr>
      <w:hyperlink r:id="rId19">
        <w:r>
          <w:rPr>
            <w:sz w:val="18"/>
            <w:color w:val="555D63"/>
          </w:rPr>
          <w:t>[4] Commission clarification published by ESMA</w:t>
        </w:r>
      </w:hyperlink>
    </w:p>
    <w:p>
      <w:pPr>
        <w:pStyle w:val="BodyText"/>
        <w:spacing w:after="80"/>
      </w:pPr>
      <w:hyperlink r:id="rId15">
        <w:r>
          <w:rPr>
            <w:sz w:val="18"/>
            <w:color w:val="555D63"/>
          </w:rPr>
          <w:t>MiCA marketing requirements</w:t>
        </w:r>
      </w:hyperlink>
    </w:p>
    <w:p>
      <w:pPr>
        <w:pStyle w:val="BodyText"/>
        <w:keepNext w:val="0"/>
        <w:spacing w:after="60"/>
      </w:pPr>
      <w:r>
        <w:rPr>
          <w:color w:val="555D63"/>
          <w:sz w:val="17"/>
        </w:rPr>
        <w:t>Version 1.0 | Public edition revised 2 October 2026. Sources checked on that date. Final release settings and applicable transaction documents will be published through official channels. No authority approval is claimed.</w:t>
      </w:r>
    </w:p>
    <w:sectPr w:rsidR="00FC693F" w:rsidRPr="0006063C" w:rsidSect="00034616">
      <w:headerReference r:id="rId9" w:type="default"/>
      <w:footerReference r:id="rId10" w:type="default"/>
      <w:pgSz w:h="15840" w:w="12240"/>
      <w:pgMar w:bottom="922" w:footer="360" w:gutter="0" w:header="360" w:left="1037" w:right="1037" w:top="922"/>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D63"/>
        <w:sz w:val="15"/>
      </w:rPr>
      <w:t xml:space="preserve">Boondocks Space S.R.L.  |  October 2026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000000"/>
        <w:sz w:val="15"/>
      </w:rPr>
      <w:t>BOONDOCKS  |  BNDKS FANCOIN  |  PUBLIC PAPER V1.0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Next w:val="0"/>
      <w:widowControl/>
      <w:spacing w:after="140" w:line="271" w:lineRule="auto" w:before="0"/>
    </w:pPr>
    <w:rPr>
      <w:rFonts w:ascii="Arial" w:hAnsi="Arial"/>
      <w:b w:val="0"/>
      <w:color w:val="171B1E"/>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40" w:before="0"/>
      <w:outlineLvl w:val="0"/>
    </w:pPr>
    <w:rPr>
      <w:rFonts w:ascii="Arial" w:asciiTheme="majorHAnsi" w:cstheme="majorBidi" w:eastAsiaTheme="majorEastAsia" w:hAnsi="Arial" w:hAnsiTheme="majorHAnsi"/>
      <w:b/>
      <w:bCs/>
      <w:color w:val="000000"/>
      <w:sz w:val="42"/>
      <w:szCs w:val="28"/>
    </w:rPr>
  </w:style>
  <w:style w:styleId="Heading2" w:type="paragraph">
    <w:name w:val="heading 2"/>
    <w:basedOn w:val="Normal"/>
    <w:next w:val="Normal"/>
    <w:link w:val="Heading2Char"/>
    <w:uiPriority w:val="9"/>
    <w:unhideWhenUsed/>
    <w:qFormat/>
    <w:rsid w:val="00FC693F"/>
    <w:pPr>
      <w:keepNext/>
      <w:keepLines/>
      <w:spacing w:after="140" w:before="180"/>
      <w:outlineLvl w:val="1"/>
    </w:pPr>
    <w:rPr>
      <w:rFonts w:ascii="Arial" w:asciiTheme="majorHAnsi" w:cstheme="majorBidi" w:eastAsiaTheme="majorEastAsia" w:hAnsi="Arial" w:hAnsiTheme="majorHAnsi"/>
      <w:b/>
      <w:bCs/>
      <w:color w:val="000000"/>
      <w:sz w:val="24"/>
      <w:szCs w:val="26"/>
    </w:rPr>
  </w:style>
  <w:style w:styleId="Heading3" w:type="paragraph">
    <w:name w:val="heading 3"/>
    <w:basedOn w:val="Normal"/>
    <w:next w:val="Normal"/>
    <w:link w:val="Heading3Char"/>
    <w:uiPriority w:val="9"/>
    <w:unhideWhenUsed/>
    <w:qFormat/>
    <w:rsid w:val="00FC693F"/>
    <w:pPr>
      <w:keepNext/>
      <w:keepLines/>
      <w:spacing w:after="140" w:before="120"/>
      <w:outlineLvl w:val="2"/>
    </w:pPr>
    <w:rPr>
      <w:rFonts w:ascii="Aptos" w:asciiTheme="majorHAnsi" w:cstheme="majorBidi" w:eastAsiaTheme="majorEastAsia" w:hAnsi="Aptos" w:hAnsiTheme="majorHAnsi"/>
      <w:b/>
      <w:bCs/>
      <w:color w:val="111A22"/>
      <w:sz w:val="23"/>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spacing w:after="140" w:before="0" w:line="240" w:lineRule="auto"/>
      <w:contextualSpacing/>
    </w:pPr>
    <w:rPr>
      <w:rFonts w:ascii="Arial" w:asciiTheme="majorHAnsi" w:cstheme="majorBidi" w:eastAsiaTheme="majorEastAsia" w:hAnsi="Arial" w:hAnsiTheme="majorHAnsi"/>
      <w:b/>
      <w:color w:val="000000"/>
      <w:spacing w:val="5"/>
      <w:kern w:val="28"/>
      <w:sz w:val="50"/>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val="111A22"/>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keepNext w:val="0"/>
      <w:widowControl/>
      <w:spacing w:after="140" w:line="271" w:lineRule="auto" w:before="0"/>
    </w:pPr>
    <w:rPr>
      <w:rFonts w:ascii="Arial" w:hAnsi="Arial"/>
      <w:b w:val="0"/>
      <w:color w:val="171B1E"/>
      <w:sz w:val="21"/>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mallNote" w:type="paragraph">
    <w:name w:val="Small Note"/>
    <w:pPr>
      <w:spacing w:after="80" w:line="240" w:lineRule="auto"/>
    </w:pPr>
    <w:rPr>
      <w:rFonts w:ascii="Aptos" w:hAnsi="Aptos"/>
      <w:color w:val="5D6974"/>
      <w:sz w:val="17"/>
    </w:rPr>
  </w:style>
  <w:style w:type="paragraph" w:customStyle="1" w:styleId="Callout">
    <w:name w:val="Callout"/>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Compact">
    <w:name w:val="Compact"/>
    <w:basedOn w:val="Normal"/>
    <w:pPr>
      <w:keepNext w:val="0"/>
      <w:widowControl/>
      <w:spacing w:line="271" w:lineRule="auto" w:before="0" w:after="140"/>
    </w:pPr>
    <w:rPr>
      <w:rFonts w:ascii="Arial" w:hAnsi="Arial"/>
      <w:b w:val="0"/>
      <w:color w:val="171B1E"/>
      <w:sz w:val="21"/>
    </w:rPr>
  </w:style>
  <w:style w:type="paragraph" w:customStyle="1" w:styleId="FirstParagraph">
    <w:name w:val="FirstParagraph"/>
    <w:basedOn w:val="Normal"/>
    <w:pPr>
      <w:keepNext w:val="0"/>
      <w:widowControl/>
      <w:spacing w:line="271" w:lineRule="auto" w:before="0" w:after="140"/>
    </w:pPr>
    <w:rPr>
      <w:rFonts w:ascii="Arial" w:hAnsi="Arial"/>
      <w:b w:val="0"/>
      <w:color w:val="171B1E"/>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20" Type="http://schemas.openxmlformats.org/officeDocument/2006/relationships/image" Target="media/rId20.png"/><Relationship Id="rId30" Type="http://schemas.openxmlformats.org/officeDocument/2006/relationships/image" Target="media/rId30.png"/><Relationship Id="rId35" Type="http://schemas.openxmlformats.org/officeDocument/2006/relationships/image" Target="media/rId35.png"/><Relationship Id="rId11" Type="http://schemas.openxmlformats.org/officeDocument/2006/relationships/hyperlink" Target="https://docs.robinhood.com/chain/" TargetMode="External"/><Relationship Id="rId12" Type="http://schemas.openxmlformats.org/officeDocument/2006/relationships/hyperlink" Target="https://docs.robinhood.com/chain/gas-and-fees/" TargetMode="External"/><Relationship Id="rId13" Type="http://schemas.openxmlformats.org/officeDocument/2006/relationships/hyperlink" Target="https://www.esma.europa.eu/publications-and-data/interactive-single-rulebook/mica/article-4-offers-public-crypto-assets-other" TargetMode="External"/><Relationship Id="rId14" Type="http://schemas.openxmlformats.org/officeDocument/2006/relationships/hyperlink" Target="https://www.esma.europa.eu/publications-and-data/interactive-single-rulebook/mica/article-5-admission-trading-crypto-assets" TargetMode="External"/><Relationship Id="rId15" Type="http://schemas.openxmlformats.org/officeDocument/2006/relationships/hyperlink" Target="https://www.esma.europa.eu/publications-and-data/interactive-single-rulebook/mica/article-7-marketing-communications" TargetMode="External"/><Relationship Id="rId16" Type="http://schemas.openxmlformats.org/officeDocument/2006/relationships/hyperlink" Target="https://docs.ponsfamily.com/" TargetMode="External"/><Relationship Id="rId17" Type="http://schemas.openxmlformats.org/officeDocument/2006/relationships/hyperlink" Target="https://docs.ponsfamily.com/v2" TargetMode="External"/><Relationship Id="rId18" Type="http://schemas.openxmlformats.org/officeDocument/2006/relationships/hyperlink" Target="https://eur-lex.europa.eu/eli/reg/2023/1114/oj/eng" TargetMode="External"/><Relationship Id="rId19" Type="http://schemas.openxmlformats.org/officeDocument/2006/relationships/hyperlink" Target="https://www.esma.europa.eu/publications-data/questions-answers/26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BNDKS FanCoin Public Paper V1.0</dc:title>
  <dc:creator>Boondocks Space S.R.L.</dc:creator>
  <cp:keywords/>
  <dcterms:created xsi:type="dcterms:W3CDTF">2026-08-05T08:31:48Z</dcterms:created>
  <dcterms:modified xsi:type="dcterms:W3CDTF">2026-10-02T16:30:00Z</dcterms:modified>
  <dc:subject>Robinhood Chain launch planned for October 2026</dc:subject>
  <dc:description/>
  <cp:lastModifiedBy>Boondocks Space S.R.L.</cp:lastModifiedBy>
</cp:coreProperties>
</file>

<file path=docProps/custom.xml><?xml version="1.0" encoding="utf-8"?>
<Properties xmlns="http://schemas.openxmlformats.org/officeDocument/2006/custom-properties" xmlns:vt="http://schemas.openxmlformats.org/officeDocument/2006/docPropsVTypes"/>
</file>